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предостережения главе администрации Кирова и начальнику департамента городского хозяйства города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14:57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Высказывания должностных лиц, которые свидетельствуют о намерениях муниципалитета отказывать в заключении концессионных соглашений в отношении объектов водоснабжения и водоотведения, могут привести к нарушениям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на сайте «Комсомольская правда» размещена информация, где глава администрации указывает «Я даже если сильно захочу, то не смогу подписать с ними (ред. ФАС - АО «Кировские коммунальные системы») концессионное соглашение просто в силу того, что имущество, которое принадлежит казне, должным образом не подготовлено, не пройдены регистрационные процедуры. Эта работа может занять год, полтора, два».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указывает, что согласно законодательству наличие в муниципальной казне незарегистрированного недвижимого имущества не является препятствием для заключения концессионного соглашения*.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«Распространение такой информации может вводить в заблуждение потенциальных инвесторов о невозможности заключения концессионного соглашения в отношении объектов водоснабжения и водоотведения Кирова до государственной регистрации имущества», </w:t>
      </w:r>
      <w:r>
        <w:t xml:space="preserve">- отмечает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других источниках информации глава администрации сообщает, что «главным препятствием является то, что имущество находится не в казне, а в хозяйственном ведении МУП «Водоканал», поэтому передавать его в концессию незаконно».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подчеркивает, что Закон о концессионных соглашениях** устанавливает возможность передачи в концессию объекты, в том числе принадлежащие унитарному предприятию.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департамента городского хозяйства подчеркнул, что «концессия сейчас невозможна. Предложение на концессию не соответствует схеме водоснабжения и водоотведения &lt;…&gt;», и «подготовка концессионного соглашения касательно такого большого имущественного комплекса, по такому серьезному, жизненно важному для города вопросу никак не может вестись в одностороннем порядке. Это как минимум 3 участника: орган местного самоуправления, правительство области и ресурсоснабжающая организация. Частный инвестор, конечно, может заявиться в одностороннем порядке, но качество такого документа вряд ли будет соответствующим».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законодательством о концессионных соглашениях предусмотрена процедура проведения переговоров в целях согласования условий, приемлемых для всех участников процесса***.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течение 30 дней после поступления предложения о заключении концессионного соглашения муниципалитет обязан принять одно из решений, в том числе о возможности передачи объектов в концессию на иных условиях****.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этих фактов ФАС России выдала предостережения должностным лицам муниципалитета, т.к. планируемые действия могут привести к нарушению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«Позиции должностных лиц Кирова могут привести к негативному влиянию на конкуренцию на территории города. В Национальном плане развития конкуренции указаны важные цели – снижение нарушений антимонопольного законодательства органами власти и увеличение доли полезного отпуска ресурса частными компаниями. Передача объектов государственного сектора инвесторам поможет достичь этих целей и привлечь дополнительные источники развития инфраструктуры ЖКХ муниципального образования. При этом выбор концессионера должен быть осуществлен в строгом соответствии с законодательством и на конкурентной основе», </w:t>
      </w:r>
      <w:r>
        <w:t xml:space="preserve">- подчеркнул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*Часть 5 статьи 39 Закона о концессионных соглашениях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Часть 2 статьи 39 Закона о концессионных соглашениях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Часть 4.8 статьи 37 Закона о концессионных соглашениях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****Часть 4.4 статьи 37 Закона о концессионных соглашениях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ожидаемых результатов развития конкуренции в сфере жилищно-коммунального хозяйства, в том числе теплоснабжения, водоснабжения, водоотведения, при реализации Национального плана развития конкуренции в Российской Федерации на 2018 - 2020 годы, утвержденного Указом Президента Российской Федерации от 27.12.2018 № 618 (далее — Национальный план), является 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неувеличения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 Федерации, где на момент утверждения Национального плана уже достигнуты показатели первого или последующих годов):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водоснабжение - до 20 % в 2019 году и до 10 % в 2020 году;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водоотведение - до 20 % в 2019 году и до 10 % в 2020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