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устранить нарушение в проекте контракта на строительство медучреждений в Иркутской области с НМЦК 1,5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2019, 10:19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Некорректный проект договора требовал увеличенных отчислений со стороны подрядчика в бюджет страны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«Реноватор» на действия Министерства по регулированию контрактной системы в сфере закупок Иркутской области, Управления капстроительства региона при закупке подрядных работ по строительству детской поликлиники и женской консультации с ценой контракта порядка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заявителя были признаны необоснованными, однако в ходе проведения внеплановой проверки Комиссия ФАС России выявила нарушение закупочного законодательства в части реализации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проекте договора отсутствовало условие, предусматривающее (п.2 ч.13 ст.34 44-ФЗ) уменьшение суммы, подлежащей уплате заказчиком на размер налогов, сборов и иных обязательных платежей в бюджеты страны</w:t>
      </w:r>
      <w:r>
        <w:t xml:space="preserve">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характера выявленного нарушения, заказчику предписано установить при заключении госконтракта такое условие.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