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Вопросы международного сотрудничества при совместных расследованиях обсудили в ходе II Евразийского форума по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14:32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что-то выгодно экономически, никакие барьеры не остановят нарушителей. Поэтому мы стараемся укреплять наше международное сотрудничество для борьбы с картелями», - рассказал начальник управления по борьбе с картелями ФАС России Андрей Тенишев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он отметил ряд проблем, которые препятствуют полноценной работе. Так, по его словам, </w:t>
      </w:r>
      <w:r>
        <w:rPr>
          <w:i/>
        </w:rPr>
        <w:t xml:space="preserve">«законодательно прописаны механизмы взаимодействия, но если выходить за их рамки, работа заканчивается».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рассказал о деле о контейнерных перевозчиках: </w:t>
      </w:r>
      <w:r>
        <w:rPr>
          <w:i/>
        </w:rPr>
        <w:t xml:space="preserve">«Трудности были от юридических до процедурных. Вопросы и проблемы международного сотрудничества для нас не просто гипотетические, мы на своём опыте убедились в том, что эти проблемы надо решать».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Мухамед Хамуков добавил, что «международные документы и конвенции регулируют расследование уголовных и административных дел, но не антимонопольных» и подчеркнул декларативный характер множества документов по взаимодействию.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должны прийти к общей Конвенции по борьбе с картелями, - </w:t>
      </w:r>
      <w:r>
        <w:t xml:space="preserve">отметил он. </w:t>
      </w:r>
      <w:r>
        <w:rPr>
          <w:i/>
        </w:rPr>
        <w:t xml:space="preserve">– Подобные конвенции уже есть: по борьбе с фальшивомонетничеством, отмыванием денег, пресечению дачи взятки иностранному должностному лицу, налоговым нарушениям, и степень опасности международных картелей не менее значима».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дискуссии Андрей Тенишев заключил:</w:t>
      </w:r>
      <w:r>
        <w:rPr>
          <w:i/>
        </w:rPr>
        <w:t xml:space="preserve"> «картели это – зло, и зло безусловное. Осознание необходимости борьбы с ними должно превалировать над экономическими интересами стран».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[photo_1368]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[video_2319]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