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синхронизация Национального плана развития конкуренции и Национальных проектов – один из приоритетов в деятельности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16:52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подвел итоги деятельности службы за последний период и отметил основные проблемы и перспективы развития конкуренции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«Оценка состояния конкуренции, как в целом, так и в отдельных отраслях и сферах является важнейшим инструментом разработки и реализации государственной экономической политики. Принятие Указа Президента, Национального плана по развитию конкуренции, проведение Государственного совета по её поддержке в регионах и утверждение на федеральном уровне «дорожной карты» в ключевых отраслях экономики привело к созданию правовой основы развития конкуренции», </w:t>
      </w:r>
      <w:r>
        <w:t xml:space="preserve">- подчеркнул руководитель ФАС России Игорь Артемьев на Расширенном заседании Коллегии антимонопольного ведомства, которое состоялось сегодня, 16 сентября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реализации этих документов, Игорь Артемьев указал, что «дорожная карта» развития конкуренции в установленные сроки исполнена на 41,5%.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выделил важность регионального аспекта поддержки конкуренции: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прошедшее время все субъекты РФ определили ключевые рынки, закрепили в положениях органов власти важность развития конкуренции и внедрили антимонопольный комплаенс. Сейчас ведется работа по актуализации региональных «дорожных карт».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статистике, глава службы отметил, что количество нарушений антимонопольного законодательства со стороны органов власти снизилось на 14%, доля государственных закупок у малого бизнеса составила 29,7%, при целевом показателе Национального плана развития конкуренции к 2020 году - 31%, аналогичный показатель для госкомпаний составил 12,1%, целевой показатель к 2020 году - 18%.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затронул тему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4 года мы провели колоссальную работу в этом направлении. Нам удалось закрепить принципы долгосрочного тарифного регулирования на все естественно-монопольные сферы контроля. В сферах ЖКХ и электроэнергетики устранены возможности для превышения предельного уровня тарифов в субъектах Российской Федерации. Этот вопрос особенно важен, т.к. он затрагивает всех наших граждан. Внедрен принцип «тариф в обмен на инвестиции», стимулирующий организации к сокращению издержек и повышению своей производительности»,</w:t>
      </w:r>
      <w:r>
        <w:t xml:space="preserve"> - сообщил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его словам, остается проблема отсутствия прозрачного тарифного регулирования, которая, в том числе будет решена после принятия единого Закона о государственном регулировании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Игорь Артемьев сообщил о создании современной системы борьбы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угроза уголовного наказания за картельные сговоры стала реальной. По материалам ФАС России возбуждено 34 уголовных дела, из них 15 дел по статье 178 Уголовного кодекса Российской Федерации, остальные случаи - различные коррупционные и должностные преступления, связанные со сговорами с заказчиками на торгах»</w:t>
      </w:r>
      <w:r>
        <w:t xml:space="preserve">, - отметил руководитель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проблемам развития конкуренции, глава ФАС выделил медленное развертывание электронных систем сопоставления цен, огосударствление финансового сектора, неконкурентное предоставление природных ресурсов хозяйствующим субъектам, отсутствие единых процедур по продаже государственного имущества, непрозрачность утверждения и исполнения инвестиционных программ субъектов естественных монополий и процедур закупочных процедур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решения этих и других проблем Игорь Артемьев обозначил следующие задачи перед антимонопольным органом. Во-первых, продолжить активную реализацию Указа Президента Российской Федерации об основных направлениях государственной политики по развитию конкуренции. Во-вторых, подготовить и принять новый Национальный план на 2021 - 2025 годы, который обеспечит развитие конкуренции в стране на федеральном, региональном и муниципальном уровнях. Также следует осуществить меры по декартелизации экономики, продолжить развитие биржевой торговли и провести работу по цифровизации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