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своей деятельности мы не замыкаемся на узких темах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13:13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Конкурентные ведомства стран БРИКС стараются думать о том, как живут граждане их стран, и чем они могут им помочь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руководитель Федеральной антимонопольной службы заявил 18 сентября 2019 года в ходе заседания Координационного комитета БРИКС по антимонопольной политике на тему «10 лет сотрудничества конкурентных ведомств БРИКС: итоги и перспективы».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борьбы с произволом и нарушениями со стороны транснациональных корпораций очень важна наша координация при рассмотрении вопросов экономической концентрации. Для этого надо еще больше активизировать работу, в том числе, и в виртуальном пространстве», </w:t>
      </w:r>
      <w:r>
        <w:t xml:space="preserve">- отметил глава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предложил создать на базе Учебно-методического центра ФАС России в Казани Центр по подготовке экспертов в области конкуренции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заместитель руководителя ФАС России Андрей Цыганов напомнил, что все еще существуют конкретные проблемы при выявлении и пресечении трансграничных картелей: в частности, различаются сроки рассмотрения дел, отличаются процедурные аспекты.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«Поэтому так важно усиление международного и регионального сотрудничества, успешным примером которого является БРИКС. Одним из возможных путей решения этого вопроса мы видим продвижение и принятие международного документа, закрепляющего конкретные механизмы выявления и борьбы с трансграничными картелями».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планируем бессрочное продление действия Меморандума о взаимопонимании в сфере сотрудничества в области конкурентной политики. Это очень важно. Вместе с тем наше взаимодействие вышло на новый, более продвинутый уровень, </w:t>
      </w:r>
      <w:r>
        <w:t xml:space="preserve">– сказал заместитель руководителя ФАС России Андрей Цариковский. </w:t>
      </w:r>
      <w:r>
        <w:rPr>
          <w:i/>
        </w:rPr>
        <w:t xml:space="preserve">– Возможно, пришла пора заключить Межправительственное соглашение, касающееся вопросов сотрудничества конкурентных ведомств БРИКС, которое укрепит взаимодействие между странами, в том числе, при расследовании действий хозяйствующих субъектов, оказывающих негативное влияние на конкуренцию на территории наших государств».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отдельно поблагодарил коллег за интенсивную и плодотворную работу в рамках уже существующих рабочих групп по исследованию проблем конкуренции на социально значимых рынках: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опыт показывает, что мы хорошо понимаем не только друг друга, но и глобальный мир».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ответ заместитель Министра Государственного управления по надзору за рынком Китайской Народной Республики Гань Линь отметила, что 4 функционирующие рабочие группы БРИКС по исследованию проблем конкуренции затрагивают отрасли, которые оказывают наибольшее влияние на общее развитие стран и предложила углубить их работу в части цифровизации и точных технологий, а также фармацевтики и здравоохранения.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Госпожа Гань Линь также высказала идею использовать логотип VI Конференции по конкуренции под эгидой БРИКС на постоянной основе для всех последующий мероприятий формата.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президент Административного совета по экономической безопасности Бразилии Александр Баррето де Соуза поддержал предложение по развитию межведомственного взаимодействия, отметив, что </w:t>
      </w:r>
      <w:r>
        <w:rPr>
          <w:i/>
        </w:rPr>
        <w:t xml:space="preserve">«именно это и отличает нашу организацию от других – каждое конкурентное ведомство самостоятельно принимает решение об участии или неучастии в конкретных рабочих группах в соответствии с собственными интересами».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Комиссии по конкуренции Индии Ашок Кумар Гупта сообщил, что ведомство начало работу по изучению структуры рынков автопроизводства БРИКС и предложил провести в 2020 году семинар на соответствующую тему и обсудить там проект экспертного доклада о проблемах конкуренции в автомобильном секторе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Комиссии по конкуренции ЮАР Тембинкоси Бонакеле отметил важность и актуальность взаимодействия рабочих групп, а также озвучил опасения по поводу возможного возникновения сложностей в различных юрисдикциях в связи с тотальной цифровизацией и связанной с этим неоднородностью регуляторной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[photo_1393]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