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о регулировании на рынках СУГ и транспортировки нефтепродуктов</w:t>
      </w:r>
    </w:p>
    <w:p xmlns:w="http://schemas.openxmlformats.org/wordprocessingml/2006/main" xmlns:pkg="http://schemas.microsoft.com/office/2006/xmlPackage" xmlns:str="http://exslt.org/strings" xmlns:fn="http://www.w3.org/2005/xpath-functions">
      <w:r>
        <w:t xml:space="preserve">17 октября 2019, 15:38</w:t>
      </w:r>
    </w:p>
    <w:p xmlns:w="http://schemas.openxmlformats.org/wordprocessingml/2006/main" xmlns:pkg="http://schemas.microsoft.com/office/2006/xmlPackage" xmlns:str="http://exslt.org/strings" xmlns:fn="http://www.w3.org/2005/xpath-functions">
      <w:pPr>
        <w:jc w:val="both"/>
      </w:pPr>
      <w:r>
        <w:rPr>
          <w:i/>
        </w:rPr>
        <w:t xml:space="preserve">Об опыте и перспективах проконкурентного тарифного регулирования в сфере газа, транспорта нефти и нефтепродуктов в ходе пленарной сессии рассказал замглавы ФАС в рамках Всероссийского семинара-совещания по тарифному регулированию -2019</w:t>
      </w:r>
    </w:p>
    <w:p xmlns:w="http://schemas.openxmlformats.org/wordprocessingml/2006/main" xmlns:pkg="http://schemas.microsoft.com/office/2006/xmlPackage" xmlns:str="http://exslt.org/strings" xmlns:fn="http://www.w3.org/2005/xpath-functions">
      <w:pPr>
        <w:jc w:val="both"/>
      </w:pPr>
      <w:r>
        <w:rPr>
          <w:i/>
        </w:rPr>
        <w:t xml:space="preserve">«Указом Президента РФ к основным направлениям государственной конкурентной политики отнесено развитие методов тарифного регулирования, основанных на анализе сопоставимых рынков, долгосрочное тарифное регулирование, дерегулирование в конкурентных сферах, а также развитие биржевой торговли, </w:t>
      </w:r>
      <w:r>
        <w:t xml:space="preserve">- подчеркнул Анатолий Голомолзин».</w:t>
      </w:r>
    </w:p>
    <w:p xmlns:w="http://schemas.openxmlformats.org/wordprocessingml/2006/main" xmlns:pkg="http://schemas.microsoft.com/office/2006/xmlPackage" xmlns:str="http://exslt.org/strings" xmlns:fn="http://www.w3.org/2005/xpath-functions">
      <w:pPr>
        <w:jc w:val="both"/>
      </w:pPr>
      <w:r>
        <w:t xml:space="preserve">Анатолий Голомолзин отметил, что:</w:t>
      </w:r>
    </w:p>
    <w:p xmlns:w="http://schemas.openxmlformats.org/wordprocessingml/2006/main" xmlns:pkg="http://schemas.microsoft.com/office/2006/xmlPackage" xmlns:str="http://exslt.org/strings" xmlns:fn="http://www.w3.org/2005/xpath-functions">
      <w:pPr>
        <w:jc w:val="both"/>
      </w:pPr>
      <w:r>
        <w:rPr>
          <w:i/>
        </w:rPr>
        <w:t xml:space="preserve">«Биржевая торговля важна для повышения прозрачности ценообразования, развития конкуренции и обеспечения устойчивого роста экономики. Объективные биржевые и внебиржевые котировки необходимы для целей антимонопольного контроля при мониторинге и анализе цен, они ведут к снижению количества нарушений антимонопольного законодательства. Для целей тарифного регулирования не менее важно использование репрезентативных индикаторов цен при рассмотрении тарифных заявок и при контроле закупок субъектами естественных монополий и регулируемыми организациями. Биржевые и внебиржевые котировки, регулярно публикуемые на сайте бирже, используются и при расчетах налогов, а также в рамках бюджетного контроля, в том числе при расчетах компенсации выпадающих доходов регулируемым организациям».</w:t>
      </w:r>
    </w:p>
    <w:p xmlns:w="http://schemas.openxmlformats.org/wordprocessingml/2006/main" xmlns:pkg="http://schemas.microsoft.com/office/2006/xmlPackage" xmlns:str="http://exslt.org/strings" xmlns:fn="http://www.w3.org/2005/xpath-functions">
      <w:pPr>
        <w:jc w:val="both"/>
      </w:pPr>
      <w:r>
        <w:t xml:space="preserve">Анатолий Голомолзин привел пример того, как биржевая торговля позволила качественно улучшить ситуацию на рынках сжиженных углеводородных газов (СУГ). Утвержденная Правительством РФ еще в 2003 году Концепция рынка сжиженных углеводородных газов предполагала в течение 4 – 7 лет (до 2010 года) провести либерализацию оптовых цен на СУГ.</w:t>
      </w:r>
    </w:p>
    <w:p xmlns:w="http://schemas.openxmlformats.org/wordprocessingml/2006/main" xmlns:pkg="http://schemas.microsoft.com/office/2006/xmlPackage" xmlns:str="http://exslt.org/strings" xmlns:fn="http://www.w3.org/2005/xpath-functions">
      <w:pPr>
        <w:jc w:val="both"/>
      </w:pPr>
      <w:r>
        <w:rPr>
          <w:i/>
        </w:rPr>
        <w:t xml:space="preserve">«Предпосылкой этого должно было стать создание системы информационно-аналитической поддержки, включающей в себя публикацию информации об уровне цен на сжиженный газ (например, об индикативных ценах), а также применение гибкой системы регулирования вывозных таможенных пошлин в зависимости от степени насыщения внутреннего рынка сжиженного газа и уровня цен на этом рынке»,</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Замглавы ФАС рассказал, что во исполнение Дорожной карты по конкуренции</w:t>
      </w:r>
      <w:r>
        <w:t xml:space="preserve">1</w:t>
      </w:r>
      <w:r>
        <w:t xml:space="preserve"> было принято решение о дерегулировании оптовых цен на СУГ для населения. Регулирование розничных цен на этот продукт по-прежнему сохраняется. Методическими указаниями для расчета регулируемых розничных цен на него, утвержденными ФАС и находящимися на государственной регистрации в Минюсте России, в качестве индикатора оптовых цен определены среднегодовые цены на СУГ исходя из минимальных значений между биржевыми и внебиржевыми котировками.</w:t>
      </w:r>
    </w:p>
    <w:p xmlns:w="http://schemas.openxmlformats.org/wordprocessingml/2006/main" xmlns:pkg="http://schemas.microsoft.com/office/2006/xmlPackage" xmlns:str="http://exslt.org/strings" xmlns:fn="http://www.w3.org/2005/xpath-functions">
      <w:pPr>
        <w:jc w:val="both"/>
      </w:pPr>
      <w:r>
        <w:rPr>
          <w:i/>
        </w:rPr>
        <w:t xml:space="preserve">«Ссылки на биржевые котировки нашли закрепление в Налоговом кодексе, совершенствуется практика таможенного администрирования. В проекте постановления правительства об установлении таможенных пошлин на СУГ, а также в проекте поправок в Налоговый кодекс, устанавливающих механизм возвратных акцизов на СУГ, ФАС предложено использовать биржевые котировки. В случае, если указанные меры защиты внутреннего рынка не сработают в полном объеме, прямые меры государственной поддержки также будут осуществляться с учетом биржевых котировок»</w:t>
      </w:r>
      <w:r>
        <w:t xml:space="preserve">, - отметил Анатолий Голомолзин.</w:t>
      </w:r>
    </w:p>
    <w:p xmlns:w="http://schemas.openxmlformats.org/wordprocessingml/2006/main" xmlns:pkg="http://schemas.microsoft.com/office/2006/xmlPackage" xmlns:str="http://exslt.org/strings" xmlns:fn="http://www.w3.org/2005/xpath-functions">
      <w:pPr>
        <w:jc w:val="both"/>
      </w:pPr>
      <w:r>
        <w:t xml:space="preserve">Замглавы ФАС объяснил, что сформированный индикатор оптовых цен на СУГ на основе мониторинга биржевых и внебиржевых котировок за годичный период, предшествующий периоду регулирования, позволяет региональным тарифным регуляторам снимать риски необоснованного роста цен и принимать обоснованные решения по розничным ценам на СУГ.</w:t>
      </w:r>
    </w:p>
    <w:p xmlns:w="http://schemas.openxmlformats.org/wordprocessingml/2006/main" xmlns:pkg="http://schemas.microsoft.com/office/2006/xmlPackage" xmlns:str="http://exslt.org/strings" xmlns:fn="http://www.w3.org/2005/xpath-functions">
      <w:pPr>
        <w:jc w:val="both"/>
      </w:pPr>
      <w:r>
        <w:t xml:space="preserve">Он также добавил, что развиваемая на СПбМТСБ торговля поставочными фьючерсами на нефтепродукты, а также на СУГ с глубиной продаж на 12 месяцев вперед, позволяет захеджировать риски регулируемых организаций в будущем.</w:t>
      </w:r>
    </w:p>
    <w:p xmlns:w="http://schemas.openxmlformats.org/wordprocessingml/2006/main" xmlns:pkg="http://schemas.microsoft.com/office/2006/xmlPackage" xmlns:str="http://exslt.org/strings" xmlns:fn="http://www.w3.org/2005/xpath-functions">
      <w:pPr>
        <w:jc w:val="both"/>
      </w:pPr>
      <w:r>
        <w:rPr>
          <w:i/>
        </w:rPr>
        <w:t xml:space="preserve">«Меры по развитию биржевой торговли на рынке СУГ, дерегулирование на этой основе оптовых цен позволили устранить теневой оборот продукта (проблему, которую ранее не могли решить более десятка лет), создали экономические стимулы для расширения локальной газификации удаленных районов страны (то, что необходимо делать для устойчивого экономического развития в будущем)»</w:t>
      </w:r>
      <w:r>
        <w:t xml:space="preserve">, - подчеркнул Анатолий Голомолзин.</w:t>
      </w:r>
    </w:p>
    <w:p xmlns:w="http://schemas.openxmlformats.org/wordprocessingml/2006/main" xmlns:pkg="http://schemas.microsoft.com/office/2006/xmlPackage" xmlns:str="http://exslt.org/strings" xmlns:fn="http://www.w3.org/2005/xpath-functions">
      <w:pPr>
        <w:jc w:val="both"/>
      </w:pPr>
      <w:r>
        <w:t xml:space="preserve">Анатолий Голомолзин рассказал об опыте регулирования тарифов на трубопроводный транспорт нефти. При транспортировке нефти по магистральным трубопроводам устанавливаются тарифы на услуги по: перекачке нефти; выполнению заказа и диспетчеризации поставок нефти; перевалке нефти; приему, сливу нефти в систему магистральных трубопроводов; наливу, сдаче нефти из системы магистральных трубопроводов.</w:t>
      </w:r>
    </w:p>
    <w:p xmlns:w="http://schemas.openxmlformats.org/wordprocessingml/2006/main" xmlns:pkg="http://schemas.microsoft.com/office/2006/xmlPackage" xmlns:str="http://exslt.org/strings" xmlns:fn="http://www.w3.org/2005/xpath-functions">
      <w:pPr>
        <w:jc w:val="both"/>
      </w:pPr>
      <w:r>
        <w:t xml:space="preserve">При этом, с 2015 по 2020 год, в соответствии с распоряжением Правительства</w:t>
      </w:r>
      <w:r>
        <w:t xml:space="preserve">2</w:t>
      </w:r>
      <w:r>
        <w:t xml:space="preserve"> , тарифы на услуги ПАО «Транснефть» устанавливались ниже уровня инфляции.</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pPr>
              <w:jc w:val="both"/>
            </w:pPr>
            <w:r>
              <w:t xml:space="preserve">2015</w:t>
            </w:r>
          </w:p>
        </w:tc>
        <w:tc>
          <w:tcPr/>
          <w:p>
            <w:pPr>
              <w:jc w:val="both"/>
            </w:pPr>
            <w:r>
              <w:t xml:space="preserve">7,5 %</w:t>
            </w:r>
          </w:p>
        </w:tc>
        <w:tc>
          <w:tcPr/>
          <w:p>
            <w:pPr>
              <w:jc w:val="both"/>
            </w:pPr>
            <w:r>
              <w:t xml:space="preserve">6,75 %</w:t>
            </w:r>
          </w:p>
        </w:tc>
      </w:tr>
      <w:tr>
        <w:tc>
          <w:tcPr/>
          <w:p>
            <w:pPr>
              <w:jc w:val="both"/>
            </w:pPr>
            <w:r>
              <w:t xml:space="preserve">2016</w:t>
            </w:r>
          </w:p>
        </w:tc>
        <w:tc>
          <w:tcPr/>
          <w:p>
            <w:pPr>
              <w:jc w:val="both"/>
            </w:pPr>
            <w:r>
              <w:t xml:space="preserve">6,8 %</w:t>
            </w:r>
          </w:p>
        </w:tc>
        <w:tc>
          <w:tcPr/>
          <w:p>
            <w:pPr>
              <w:jc w:val="both"/>
            </w:pPr>
            <w:r>
              <w:t xml:space="preserve">6,12 %</w:t>
            </w:r>
          </w:p>
        </w:tc>
      </w:tr>
      <w:tr>
        <w:tc>
          <w:tcPr/>
          <w:p>
            <w:pPr>
              <w:jc w:val="both"/>
            </w:pPr>
            <w:r>
              <w:t xml:space="preserve">2017</w:t>
            </w:r>
          </w:p>
        </w:tc>
        <w:tc>
          <w:tcPr/>
          <w:p>
            <w:pPr>
              <w:jc w:val="both"/>
            </w:pPr>
            <w:r>
              <w:t xml:space="preserve">4,0 %</w:t>
            </w:r>
          </w:p>
        </w:tc>
        <w:tc>
          <w:tcPr/>
          <w:p>
            <w:pPr>
              <w:jc w:val="both"/>
            </w:pPr>
            <w:r>
              <w:t xml:space="preserve">3,6 %</w:t>
            </w:r>
          </w:p>
        </w:tc>
      </w:tr>
      <w:tr>
        <w:tc>
          <w:tcPr/>
          <w:p>
            <w:pPr>
              <w:jc w:val="both"/>
            </w:pPr>
            <w:r>
              <w:t xml:space="preserve">2018</w:t>
            </w:r>
          </w:p>
        </w:tc>
        <w:tc>
          <w:tcPr/>
          <w:p>
            <w:pPr>
              <w:jc w:val="both"/>
            </w:pPr>
            <w:r>
              <w:t xml:space="preserve">4,0 %</w:t>
            </w:r>
          </w:p>
        </w:tc>
        <w:tc>
          <w:tcPr/>
          <w:p>
            <w:pPr>
              <w:jc w:val="both"/>
            </w:pPr>
            <w:r>
              <w:t xml:space="preserve">3,95 %</w:t>
            </w:r>
          </w:p>
        </w:tc>
      </w:tr>
      <w:tr>
        <w:tc>
          <w:tcPr/>
          <w:p>
            <w:pPr>
              <w:jc w:val="both"/>
            </w:pPr>
            <w:r>
              <w:t xml:space="preserve">2019</w:t>
            </w:r>
          </w:p>
        </w:tc>
        <w:tc>
          <w:tcPr/>
          <w:p>
            <w:pPr>
              <w:jc w:val="both"/>
            </w:pPr>
            <w:r>
              <w:t xml:space="preserve">4,3 %</w:t>
            </w:r>
          </w:p>
        </w:tc>
        <w:tc>
          <w:tcPr/>
          <w:p>
            <w:pPr>
              <w:jc w:val="both"/>
            </w:pPr>
            <w:r>
              <w:t xml:space="preserve">3,87 %</w:t>
            </w:r>
          </w:p>
        </w:tc>
      </w:tr>
      <w:tr>
        <w:tc>
          <w:tcPr/>
          <w:p>
            <w:pPr>
              <w:jc w:val="both"/>
            </w:pPr>
            <w:r>
              <w:t xml:space="preserve">2020</w:t>
            </w:r>
          </w:p>
        </w:tc>
        <w:tc>
          <w:tcPr/>
          <w:p>
            <w:pPr>
              <w:jc w:val="both"/>
            </w:pPr>
            <w:r>
              <w:t xml:space="preserve">3,8 %</w:t>
            </w:r>
          </w:p>
        </w:tc>
        <w:tc>
          <w:tcPr/>
          <w:p>
            <w:pPr>
              <w:jc w:val="both"/>
            </w:pPr>
            <w:r>
              <w:t xml:space="preserve">3,42 %</w:t>
            </w:r>
          </w:p>
        </w:tc>
      </w:tr>
    </w:tbl>
    <w:p xmlns:w="http://schemas.openxmlformats.org/wordprocessingml/2006/main" xmlns:pkg="http://schemas.microsoft.com/office/2006/xmlPackage" xmlns:str="http://exslt.org/strings" xmlns:fn="http://www.w3.org/2005/xpath-functions">
      <w:pPr>
        <w:jc w:val="both"/>
      </w:pPr>
      <w:r>
        <w:br/>
      </w:r>
      <w:r>
        <w:t xml:space="preserve">
 </w:t>
      </w:r>
    </w:p>
    <w:p xmlns:w="http://schemas.openxmlformats.org/wordprocessingml/2006/main" xmlns:pkg="http://schemas.microsoft.com/office/2006/xmlPackage" xmlns:str="http://exslt.org/strings" xmlns:fn="http://www.w3.org/2005/xpath-functions">
      <w:pPr>
        <w:jc w:val="both"/>
      </w:pPr>
      <w:r>
        <w:rPr>
          <w:i/>
        </w:rPr>
        <w:t xml:space="preserve">«В 2018 году ФАС России был разработан и направлен в Правительство проект распоряжения Правительства «Об определении долгосрочных параметров тарифного регулирования ПАО «Транснефть» и хозяйствующих субъектов, входящих с ПАО «Транснефть» в одну группу лиц». Проект распоряжения предусматривает изменение тарифов на услуги ПАО «Транснефть» на 2021-2025 годы исходя из их ежегодного прироста в среднем на 90% от ожидаемого уровня инфляции на очередной период регулирования»</w:t>
      </w:r>
      <w:r>
        <w:t xml:space="preserve">, - продолжил замглавы ФАС.</w:t>
      </w:r>
    </w:p>
    <w:p xmlns:w="http://schemas.openxmlformats.org/wordprocessingml/2006/main" xmlns:pkg="http://schemas.microsoft.com/office/2006/xmlPackage" xmlns:str="http://exslt.org/strings" xmlns:fn="http://www.w3.org/2005/xpath-functions">
      <w:pPr>
        <w:jc w:val="both"/>
      </w:pPr>
      <w:r>
        <w:t xml:space="preserve">Анатолий Голомолзин рассказал, что в соответствии с поручением Правительства ведется работа по формированию предложений об уровне базового тарифа на услуги по транспортировке нефти по магистральным трубопроводам, входящим в систему ПАО «Транснефть», от которого в предстоящие годы будет индексироваться тариф компании.</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в Правительстве одобрены подходы и проведенные ФАС России необходимые финансово-экономические расчеты по вопросу определения оптимальных текущих расходов. Также ФАС России совместно с Минэнерго России и Минэкономразвития России прорабатывается вопрос определения нормы прибыли ПАО «Транснефть», которую Компания будет расходовать в том числе, на реализацию инвестиционной программы и на выплату дивидендов»,</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В продолжение своего выступления заместитель руководителя ведомства рассказал об институциональных изменениях в сфере транспортировки нефтепродуктов.</w:t>
      </w:r>
    </w:p>
    <w:p xmlns:w="http://schemas.openxmlformats.org/wordprocessingml/2006/main" xmlns:pkg="http://schemas.microsoft.com/office/2006/xmlPackage" xmlns:str="http://exslt.org/strings" xmlns:fn="http://www.w3.org/2005/xpath-functions">
      <w:pPr>
        <w:jc w:val="both"/>
      </w:pPr>
      <w:r>
        <w:t xml:space="preserve">Он пояснил, что при транспортировке нефтепродуктов по магистральным трубопроводам устанавливаются тарифы на услуги по: перекачке нефтепродуктов; выполнению заказа и диспетчеризации поставок нефтепродуктов; перевалке нефтепродуктов; сдаче нефтепродуктов в систему магистральных трубопроводов; наливу нефтепродуктов из системы магистральных трубопроводов.</w:t>
      </w:r>
    </w:p>
    <w:p xmlns:w="http://schemas.openxmlformats.org/wordprocessingml/2006/main" xmlns:pkg="http://schemas.microsoft.com/office/2006/xmlPackage" xmlns:str="http://exslt.org/strings" xmlns:fn="http://www.w3.org/2005/xpath-functions">
      <w:pPr>
        <w:jc w:val="both"/>
      </w:pPr>
      <w:r>
        <w:rPr>
          <w:i/>
        </w:rPr>
        <w:t xml:space="preserve">«При этом, с 2000-го года, в целях совершенствования методов государственного регулирования деятельности субъектов естественных монополий в сфере транспортировки нефтепродуктов по магистральным трубопроводам и стимулирования экономически оправданного перехода соответствующего товарного рынка из состояния естественной монополии в состояние конкурентного рынка, тарифы на услуги ПАО «Транснефть» стали устанавливаться в виде предельных максимальных тарифов, а тарифы на услуги по перекачке нефтепродуктов – как предельное соотношение к стоимости транспортировки нефтепродуктов по альтернативному маршруту железнодорожным транспортом с понижающим коэффициентом 0,7. Такой подход отражает сложившуюся структуру рынка услуг по транспортировке нефтепродуктов и условия конкуренции на нем»</w:t>
      </w:r>
      <w:r>
        <w:t xml:space="preserve">, - заключил Анатолий Голомолзин.</w:t>
      </w:r>
    </w:p>
    <w:p xmlns:w="http://schemas.openxmlformats.org/wordprocessingml/2006/main" xmlns:pkg="http://schemas.microsoft.com/office/2006/xmlPackage" xmlns:str="http://exslt.org/strings" xmlns:fn="http://www.w3.org/2005/xpath-functions">
      <w:pPr>
        <w:jc w:val="both"/>
      </w:pPr>
      <w:r>
        <w:t xml:space="preserve">ФАС России проведен анализ услуг по транспортировке нефтепродуктов за период с 2013 по 2018 годы: основные конкурирующие виды транспорта – трубопроводный и железнодорожный. На внутреннем рынке доля ПАО «Транснефть» составляет 13%, а доля ж/д транспорта более 70%. На экспорт доля ПАО «Транснефть» – 44,6%, а доля железнодорожного транспорта – 48,4%.</w:t>
      </w:r>
    </w:p>
    <w:p xmlns:w="http://schemas.openxmlformats.org/wordprocessingml/2006/main" xmlns:pkg="http://schemas.microsoft.com/office/2006/xmlPackage" xmlns:str="http://exslt.org/strings" xmlns:fn="http://www.w3.org/2005/xpath-functions">
      <w:pPr>
        <w:jc w:val="both"/>
      </w:pPr>
      <w:r>
        <w:rPr>
          <w:i/>
        </w:rPr>
        <w:t xml:space="preserve">«В такой ситуации, как это предусмотрено Указом Президента «Об основных направлениях государственной конкурентной политики» и в соответствии с законом «О естественных монополиях», в отношении деятельности ПАО «Транснефть» по транспортировке нефтепродуктов должен быть отменен метод ценового (тарифного) регулирования. ФАС России соответствующие предложения подготовлены и направлены в Правительство РФ после многократных обсуждений с участниками рынка на Экспертном совете ФАС России. При этом предлагается проводить постоянный мониторинг цен (тарифов) ПАО Транснефть в отношении деятельности по транспортировке нефтепродуктов; сохранить ПАО «Транснефть» и организации системы «Транснефть» в Реестре субъектов естественных монополий; осуществлять контроль соблюдения ПАО Транснефть требований по обеспечению условий конкуренции, доступу к услугам по транспортировке нефтепродуктов и раскрытию информации»</w:t>
      </w:r>
      <w:r>
        <w:t xml:space="preserve">, - рассказал замглавы ФАС.</w:t>
      </w:r>
    </w:p>
    <w:p xmlns:w="http://schemas.openxmlformats.org/wordprocessingml/2006/main" xmlns:pkg="http://schemas.microsoft.com/office/2006/xmlPackage" xmlns:str="http://exslt.org/strings" xmlns:fn="http://www.w3.org/2005/xpath-functions">
      <w:pPr>
        <w:jc w:val="both"/>
      </w:pPr>
      <w:r>
        <w:t xml:space="preserve">Он пояснил, что необходимость таких действий по дерегулированию тарифов на услуги по транспортировки нефтепродуктов обусловлена еще и тем, что компания получила в Банке России статус и осуществляет деятельность в качестве Оператора Товарных Поставок. Совместно с клиринговой организацией РДК Транснефть является гарантом перехода прав собственности на нефтепродукты, приобретенные на биржевых торгах. Переход прав собственности на нефтепродукты осуществляется в кратчайшие сроки (максимум на вторые сутки). Оперативность передачи прав собственности достигается за счет автоматизированной системы и постоянного обмена информацией между Оператором Товарных Поставок, РДК и Биржей.</w:t>
      </w:r>
    </w:p>
    <w:p xmlns:w="http://schemas.openxmlformats.org/wordprocessingml/2006/main" xmlns:pkg="http://schemas.microsoft.com/office/2006/xmlPackage" xmlns:str="http://exslt.org/strings" xmlns:fn="http://www.w3.org/2005/xpath-functions">
      <w:pPr>
        <w:jc w:val="both"/>
      </w:pPr>
      <w:r>
        <w:rPr>
          <w:i/>
        </w:rPr>
        <w:t xml:space="preserve">«На обсуждении этого вопроса в Правительстве РФ с возражениями выступило ОАО «РЖД», они предлагают их также дерегулировать»</w:t>
      </w:r>
      <w:r>
        <w:t xml:space="preserve">, - рассказал Анатолий Голомолзин.</w:t>
      </w:r>
    </w:p>
    <w:p xmlns:w="http://schemas.openxmlformats.org/wordprocessingml/2006/main" xmlns:pkg="http://schemas.microsoft.com/office/2006/xmlPackage" xmlns:str="http://exslt.org/strings" xmlns:fn="http://www.w3.org/2005/xpath-functions">
      <w:pPr>
        <w:jc w:val="both"/>
      </w:pPr>
      <w:r>
        <w:t xml:space="preserve">Он пояснил, что это необоснованно, поскольку:</w:t>
      </w:r>
    </w:p>
    <w:p xmlns:w="http://schemas.openxmlformats.org/wordprocessingml/2006/main" xmlns:pkg="http://schemas.microsoft.com/office/2006/xmlPackage" xmlns:str="http://exslt.org/strings" xmlns:fn="http://www.w3.org/2005/xpath-functions">
      <w:pPr>
        <w:jc w:val="both"/>
      </w:pPr>
      <w:r>
        <w:rPr>
          <w:i/>
        </w:rPr>
        <w:t xml:space="preserve">«РЖД, в отличие от Транснефти, занимает доминирующее положение на внутреннем рынке транспортировки нефтепродуктов. Обсуждение вопроса о дерегулировании тарифов на услуги железнодорожных перевозок нефтеналивных грузов возможно, если будут созданы для этого институциональные предпосылки. И такая работа в настоящее время ведется».</w:t>
      </w:r>
    </w:p>
    <w:p xmlns:w="http://schemas.openxmlformats.org/wordprocessingml/2006/main" xmlns:pkg="http://schemas.microsoft.com/office/2006/xmlPackage" xmlns:str="http://exslt.org/strings" xmlns:fn="http://www.w3.org/2005/xpath-functions">
      <w:pPr>
        <w:jc w:val="both"/>
      </w:pPr>
      <w:r>
        <w:t xml:space="preserve">В продолжение темы Анатолий Голомолзин рассказал,что:</w:t>
      </w:r>
    </w:p>
    <w:p xmlns:w="http://schemas.openxmlformats.org/wordprocessingml/2006/main" xmlns:pkg="http://schemas.microsoft.com/office/2006/xmlPackage" xmlns:str="http://exslt.org/strings" xmlns:fn="http://www.w3.org/2005/xpath-functions">
      <w:pPr>
        <w:jc w:val="both"/>
      </w:pPr>
      <w:r>
        <w:rPr>
          <w:i/>
        </w:rPr>
        <w:t xml:space="preserve">«Биржевой комитет прорабатывает создание торговой системы по продаже железнодорожных перевозок регулярными грузовыми поездами, услуг по предоставлению подвижного состава на организованных торгах на ЗАО «СПбМТСБ». Совместно с ОАО «РЖД» и участниками рынка создана Рабочая группа по вопросам перевозки железнодорожных грузов в сегменте регулярного грузового движения. В рамках запуска «пилотного проекта» регулярного грузового движения нефтеналивных грузов прорабатываются маршруты поездов. Также совместно с Банком России рассматривается вопрос о получения ОАО «РЖД» статуса «оператора товарных поставок». В рамках такой бизнес-модели формируются конкурентные условия перевозки, ОАО «РЖД» получает возможность «вписаться» в систему прозрачного рыночного ценообразования на рынке нефтепродуктов, где четверть нефтепродуктов продается через биржу. Потребители получают прозрачные биржевые и внебиржевые котировки стоимости услуг перевозки. А РЖД сможет обеспечить условия конкурентоспособности с другими видами транспорта. В противном случае компания продолжит терять объемы перевозок высокодоходных нефтеналивных грузов, проигрывая трубопроводному и автомобильному транспорту».</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Примечание:</w:t>
      </w:r>
    </w:p>
    <w:p xmlns:w="http://schemas.openxmlformats.org/wordprocessingml/2006/main" xmlns:pkg="http://schemas.microsoft.com/office/2006/xmlPackage" xmlns:str="http://exslt.org/strings" xmlns:fn="http://www.w3.org/2005/xpath-functions">
      <w:pPr>
        <w:jc w:val="both"/>
      </w:pPr>
      <w:r>
        <w:br/>
      </w:r>
      <w:r>
        <w:t xml:space="preserve">1</w:t>
      </w:r>
      <w:r>
        <w:t xml:space="preserve"> Дорожная карта утверждена Постановлением Правительства РФ от 30.11.2018 № 1442</w:t>
      </w:r>
    </w:p>
    <w:p xmlns:w="http://schemas.openxmlformats.org/wordprocessingml/2006/main" xmlns:pkg="http://schemas.microsoft.com/office/2006/xmlPackage" xmlns:str="http://exslt.org/strings" xmlns:fn="http://www.w3.org/2005/xpath-functions">
      <w:pPr>
        <w:jc w:val="both"/>
      </w:pPr>
      <w:r>
        <w:t xml:space="preserve">2  </w:t>
      </w:r>
      <w:r>
        <w:t xml:space="preserve">Распоряжение Правительства от 14 марта 2014 года №377-р</w:t>
      </w:r>
    </w:p>
    <w:p xmlns:w="http://schemas.openxmlformats.org/wordprocessingml/2006/main" xmlns:pkg="http://schemas.microsoft.com/office/2006/xmlPackage" xmlns:str="http://exslt.org/strings" xmlns:fn="http://www.w3.org/2005/xpath-functions">
      <w:pPr>
        <w:jc w:val="both"/>
      </w:pPr>
      <w:r>
        <w:t xml:space="preserve">3 </w:t>
      </w:r>
      <w:r>
        <w:t xml:space="preserve">Информация о выступлении Анатолия Голомолзина на тему регулирования тарифов на связь см. здесь </w:t>
      </w:r>
      <w:hyperlink xmlns:r="http://schemas.openxmlformats.org/officeDocument/2006/relationships" r:id="rId8">
        <w:r>
          <w:rPr>
            <w:rStyle w:val="Hyperlink"/>
            <w:color w:val="000080"/>
            <w:u w:val="single"/>
          </w:rPr>
          <w:t xml:space="preserve">
          http://fas.gov.ru/news/28595
        </w:t>
        </w:r>
      </w:hyperlink>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[photo_1432]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news/2859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