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нужна регламентация сроков рассмотрения ходатайств, попадающих под действие закона об иностранных инвестициях в стратегические отрасли</w:t>
      </w:r>
    </w:p>
    <w:p xmlns:w="http://schemas.openxmlformats.org/wordprocessingml/2006/main" xmlns:pkg="http://schemas.microsoft.com/office/2006/xmlPackage" xmlns:str="http://exslt.org/strings" xmlns:fn="http://www.w3.org/2005/xpath-functions">
      <w:r>
        <w:t xml:space="preserve">28 октября 2019, 15:50</w:t>
      </w:r>
    </w:p>
    <w:p xmlns:w="http://schemas.openxmlformats.org/wordprocessingml/2006/main" xmlns:pkg="http://schemas.microsoft.com/office/2006/xmlPackage" xmlns:str="http://exslt.org/strings" xmlns:fn="http://www.w3.org/2005/xpath-functions">
      <w:pPr>
        <w:jc w:val="both"/>
      </w:pPr>
      <w:r>
        <w:rPr>
          <w:i/>
        </w:rPr>
        <w:t xml:space="preserve">«Сейчас в России ведется активная работа по привлечению иностранных инвесторов в России», - заявил заместитель руководителя Федеральной антимонопольной службы (ФАС России) Андрей Цыганов, выступая 28 октября 2019 г. на международной сессии «Антимонопольное регулирование в России»</w:t>
      </w:r>
    </w:p>
    <w:p xmlns:w="http://schemas.openxmlformats.org/wordprocessingml/2006/main" xmlns:pkg="http://schemas.microsoft.com/office/2006/xmlPackage" xmlns:str="http://exslt.org/strings" xmlns:fn="http://www.w3.org/2005/xpath-functions">
      <w:pPr>
        <w:jc w:val="both"/>
      </w:pPr>
      <w:r>
        <w:t xml:space="preserve">Участники сессии подняли вопрос о необходимости определения более четких критериев отнесения сделок к 57-му закону и четких и понятных сроков рассмотрения ходатайств компаний Правительственной комиссией по иностранным инвестициям.</w:t>
      </w:r>
    </w:p>
    <w:p xmlns:w="http://schemas.openxmlformats.org/wordprocessingml/2006/main" xmlns:pkg="http://schemas.microsoft.com/office/2006/xmlPackage" xmlns:str="http://exslt.org/strings" xmlns:fn="http://www.w3.org/2005/xpath-functions">
      <w:pPr>
        <w:jc w:val="both"/>
      </w:pPr>
      <w:r>
        <w:t xml:space="preserve">Замглавы ФАС согласился с тем, что в законе можно более детально регламентировать сроки рассмотрения ходатайств по 57-му закону, в особенности по так называемым иным сделкам, выносимым на рассмотрение Правительственной комиссии по решению ее председателя.</w:t>
      </w:r>
    </w:p>
    <w:p xmlns:w="http://schemas.openxmlformats.org/wordprocessingml/2006/main" xmlns:pkg="http://schemas.microsoft.com/office/2006/xmlPackage" xmlns:str="http://exslt.org/strings" xmlns:fn="http://www.w3.org/2005/xpath-functions">
      <w:pPr>
        <w:jc w:val="both"/>
      </w:pPr>
      <w:r>
        <w:t xml:space="preserve">Также Андрей Цыганов отметил, что в настоящее время разработаны поправки в закон об иностранных инвестициях в стратегические отрасли, которые регламентируют порядок согласования установления контроля над стратегическим обществом в случае, если после установления такого контроля российский инвестор приобрел статус иностранного инвестора (например, гражданин РФ приобрел гражданство иного государства).</w:t>
      </w:r>
    </w:p>
    <w:p xmlns:w="http://schemas.openxmlformats.org/wordprocessingml/2006/main" xmlns:pkg="http://schemas.microsoft.com/office/2006/xmlPackage" xmlns:str="http://exslt.org/strings" xmlns:fn="http://www.w3.org/2005/xpath-functions">
      <w:pPr>
        <w:jc w:val="both"/>
      </w:pPr>
      <w:r>
        <w:t xml:space="preserve">Также поправки в закон конкретизируют случаи необходимости согласования сделок в соответствии с порядком, установленным законом № 57-ФЗ, при приобретении иностранным инвестором в концессию имущества ГУПов и МУПов.</w:t>
      </w:r>
    </w:p>
    <w:p xmlns:w="http://schemas.openxmlformats.org/wordprocessingml/2006/main" xmlns:pkg="http://schemas.microsoft.com/office/2006/xmlPackage" xmlns:str="http://exslt.org/strings" xmlns:fn="http://www.w3.org/2005/xpath-functions">
      <w:pPr>
        <w:jc w:val="both"/>
      </w:pPr>
      <w:r>
        <w:t xml:space="preserve">В подготовленных поправках в закон регламентирован порядок проведения проверок ФАС России на предмет соблюдения закона № 57-ФЗ. В качестве меры ответственности для недобросовестных инвесторов вводится предписания ФАС России о перечислении в федеральный бюджет дохода, полученного в период незаконного контроля над стратегическим обществом.</w:t>
      </w:r>
    </w:p>
    <w:p xmlns:w="http://schemas.openxmlformats.org/wordprocessingml/2006/main" xmlns:pkg="http://schemas.microsoft.com/office/2006/xmlPackage" xmlns:str="http://exslt.org/strings" xmlns:fn="http://www.w3.org/2005/xpath-functions">
      <w:pPr>
        <w:jc w:val="both"/>
      </w:pPr>
      <w:r>
        <w:t xml:space="preserve">Кроме того, предусмотрена детализация положений КоАП, устанавливающих административную ответственность за несоблюдение запретов, установленных законом № 57-ФЗ.</w:t>
      </w:r>
    </w:p>
    <w:p xmlns:w="http://schemas.openxmlformats.org/wordprocessingml/2006/main" xmlns:pkg="http://schemas.microsoft.com/office/2006/xmlPackage" xmlns:str="http://exslt.org/strings" xmlns:fn="http://www.w3.org/2005/xpath-functions">
      <w:pPr>
        <w:jc w:val="both"/>
      </w:pPr>
      <w:r>
        <w:t xml:space="preserve">ФАС России вместе с Ассоциацией антимонопольных экспертов (ААЭ) подготовила первую версию постатейного комментария законодательства об иностранных инвестициях и сейчас работает над вторым изданием.</w:t>
      </w:r>
      <w:r>
        <w:rPr>
          <w:i/>
        </w:rPr>
        <w:t xml:space="preserve"> «Практика постоянно совершенствуется, и мы готовим серьезные разъяснения ФАС России по 57-му закону, которые будут посвящены наиболее сложным вопросам правоприменения закона об иностранных инвестициях в стратегические отрасли российской экономики»,</w:t>
      </w:r>
      <w:r>
        <w:t xml:space="preserve"> - сообщил Андрей Цыганов.</w:t>
      </w:r>
    </w:p>
    <w:p xmlns:w="http://schemas.openxmlformats.org/wordprocessingml/2006/main" xmlns:pkg="http://schemas.microsoft.com/office/2006/xmlPackage" xmlns:str="http://exslt.org/strings" xmlns:fn="http://www.w3.org/2005/xpath-functions">
      <w:pPr>
        <w:jc w:val="both"/>
      </w:pPr>
      <w:r>
        <w:t xml:space="preserve">В сессии приняли участие руководитель австрийского конкурентного ведомства Теодор Таннер, партнеры Cleary Gottlieb Steen &amp; Hamilton LLP Франсуа-Шарль Лапревот и Антуан Виклер, партнер Bryan Cave Leighton Paisner (Russia) LLP Николай Вознесенский, партнер, руководитель антимонопольной практики BGP Litigation Ирина Акимова, партнер, руководитель антимонопольной практики «Пепеляев групп» Елена Соколовская, советник юридической фирмы Herbert Smith Freehills Евгений Юрьев, директор департамента управления регуляторными рисками «МТС», председатель генерального совета Ассоциации антимонопольных экспертов Андрей Рего и другие.</w:t>
      </w:r>
    </w:p>
    <w:p xmlns:w="http://schemas.openxmlformats.org/wordprocessingml/2006/main" xmlns:pkg="http://schemas.microsoft.com/office/2006/xmlPackage" xmlns:str="http://exslt.org/strings" xmlns:fn="http://www.w3.org/2005/xpath-functions">
      <w:pPr>
        <w:jc w:val="both"/>
      </w:pPr>
      <w:r>
        <w:t xml:space="preserve">[photo_1471]</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За 11 лет в Федеральную антимонопольную службу (ФАС России) поступило 606 ходатайств по закону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xmlns:w="http://schemas.openxmlformats.org/wordprocessingml/2006/main" xmlns:pkg="http://schemas.microsoft.com/office/2006/xmlPackage" xmlns:str="http://exslt.org/strings" xmlns:fn="http://www.w3.org/2005/xpath-functions">
      <w:pPr>
        <w:jc w:val="both"/>
      </w:pPr>
      <w:r>
        <w:rPr>
          <w:i/>
        </w:rPr>
        <w:t xml:space="preserve">Из них:</w:t>
      </w:r>
    </w:p>
    <w:p xmlns:w="http://schemas.openxmlformats.org/wordprocessingml/2006/main" xmlns:pkg="http://schemas.microsoft.com/office/2006/xmlPackage" xmlns:str="http://exslt.org/strings" xmlns:fn="http://www.w3.org/2005/xpath-functions">
      <w:pPr>
        <w:jc w:val="both"/>
      </w:pPr>
      <w:r>
        <w:rPr>
          <w:i/>
        </w:rPr>
        <w:t xml:space="preserve">263 ходатайства было рассмотрено Правительственной комиссией, по которым в 245 случаях принято решение о предварительном согласовании (в 78 случаях – с возложением обязательств) и в 18 случаях – об отказе в предварительном согласовании;</w:t>
      </w:r>
    </w:p>
    <w:p xmlns:w="http://schemas.openxmlformats.org/wordprocessingml/2006/main" xmlns:pkg="http://schemas.microsoft.com/office/2006/xmlPackage" xmlns:str="http://exslt.org/strings" xmlns:fn="http://www.w3.org/2005/xpath-functions">
      <w:pPr>
        <w:jc w:val="both"/>
      </w:pPr>
      <w:r>
        <w:rPr>
          <w:i/>
        </w:rPr>
        <w:t xml:space="preserve">261 ходатайства возвращены заявителям как не требующие предварительного согласования;</w:t>
      </w:r>
    </w:p>
    <w:p xmlns:w="http://schemas.openxmlformats.org/wordprocessingml/2006/main" xmlns:pkg="http://schemas.microsoft.com/office/2006/xmlPackage" xmlns:str="http://exslt.org/strings" xmlns:fn="http://www.w3.org/2005/xpath-functions">
      <w:pPr>
        <w:jc w:val="both"/>
      </w:pPr>
      <w:r>
        <w:rPr>
          <w:i/>
        </w:rPr>
        <w:t xml:space="preserve">59 ходатайств отозваны заявителями по причине отказа от намерения осуществить планируемую сделку;</w:t>
      </w:r>
    </w:p>
    <w:p xmlns:w="http://schemas.openxmlformats.org/wordprocessingml/2006/main" xmlns:pkg="http://schemas.microsoft.com/office/2006/xmlPackage" xmlns:str="http://exslt.org/strings" xmlns:fn="http://www.w3.org/2005/xpath-functions">
      <w:pPr>
        <w:jc w:val="both"/>
      </w:pPr>
      <w:r>
        <w:rPr>
          <w:i/>
        </w:rPr>
        <w:t xml:space="preserve">23 ходатайства находятся в процессе рассмотрения.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