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 Национальный план развития конкуренции до 2025 будут погружены стратегические задачи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ноября 2019, 16:43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Единые подходы и тиражирование положительных практик - основа эффективного экономического пространства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2020 год - завершающий год реализации Национального плана развития конкуренции, утвержденного в конце 2017 года. Уже сегодня мы видим, что он дал свои результаты: существенно снизилось количество нарушений антимонопольного законодательства. Сегодня нам предстоит определить, каким будет Национальный план развития конкуренции на следующие 5 лет</w:t>
      </w:r>
      <w:r>
        <w:t xml:space="preserve">», - отметил руководитель ФАС России Игорь Артемьев в ходе международной научно-практической конференции «Комплаенс как система управления рисками: российский и европейский опыт».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Национальных проектов, направленных на прорывное научно-технологическое и социально-экономическое развитие страны, увеличение численности населения, повышение уровня жизни граждан имеют общую цель с Национальным планом развития конкуренции и не могут быть эффективно реализованы в отрыве друг от друга.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«Обеспечение достижения национальных целей на принципах конкурентной политики путем качественных изменений уровня конкуренции – основа Национального плана 2021-2025. Реализация Национальных проектов должна быть интегрирована в национальный план иначе средства, направленные на нацпроекты, будут просто освоены и не дадут никакого эффекта для экономики»,</w:t>
      </w:r>
      <w:r>
        <w:t xml:space="preserve"> - подчеркнул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обратил внимание, что в процессе реализации Нацплана 2018-2020 и в тесном взаимодействии с региональными органами власти ведомством были отмечены перспективные региональные практики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Люди, работающие в регионах, порой в отличие от коллег из федеральных ведомств смотрят шире на отрасль и решение проблем в ней. Передовой опыт регионов должен быть перенят и распространен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например, Московская область включила в 19 госпрограмм положения, направленные на их реализацию в соответствии с принципами конкуренции. Таким образом обеспечивается взаимосвязь мероприятий региональных стратегических документов с установленными в соответствии с Указом № 618 ключевыми показателями, отражающими структурные изменения в сферах экономики регионов, и мероприятиями по их достижению.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регионе успешно функционирует единый портал торгов Московской области – удобная площадка для поставщиков и заказчиков субъекта.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Подмосковье лидирует в России по числу созданных субъектов малого и среднего бизнеса. За минувший год по данным ФНС в Московской области создано свыше 13 тысяч субъектов МСП. В области реализуется целый комплекс мер поддержки предпринимателей, при этом объем господдержки субъектов МСП за прошлый год составил 646 млн рублей, из них 450 млн рублей получили 182 предприятия в качестве субсидий.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«Единые подходы, тиражирование положительных практик - основа единого экономического пространства»</w:t>
      </w:r>
      <w:r>
        <w:t xml:space="preserve">, - заключил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[photo_1482]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