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по капремонту трассы М-7 «Волга» за 1,5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предписано устранить выявленные нарушения при заключении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«Пару групп» на действия Управления автомагистрали Москва - Нижний Новгород Росавтодора при закупке работ по капремонту автомобильной дороги М-7 «Волга» стоимостью почти 1,5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России выявила ненадлежащее установление требований, подтверждающих соответствие участников положениям Постановлением № 99. В закупочной документации отсутствовало требование о том, что в соответствии с Законом о контрактной системе документы по Постановлению №99 направляются заказчику оператором электронной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аукционная документация содержала противоречивые сведения о привлечении к исполнению контрактов соисполнителей из числа субъектов МСП и социально ориентированных НКО. Так, в извещении говорилось об обязательном привлечение МСП к исполнению контракта в размере 15%, а в документации упоминалось лишь то, что соисполнителями могут быть субъекты малого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проекте контракта ненадлежащим образом установлена ответственность заказчика и подрядчика за неисполнение или ненадлежащее исполнение обязательств, предусмотренных контрактом.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проверки Комиссия ФАС России установила, что заказчик нарушил сроки размещения в ЕИС протокола второго этапа обязательного общественного обсуждения закупки, а также не установил виды работ, которые подрядчик обязан выполнить самостоятельно без привлечения других лиц. Также в проекте контракта не был установлен штраф за ненадлежащее исполнение подрядчиком таких работ и обязанность исполнителя предоставить новое обеспечение исполнения контракта в случае отзыва лицензии у банка, предоставившего банковскую гарантию.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