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предлагает перейти к полноценной системе общественного контроля за развитием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декабря 2019, 18:01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Цели, задачи и полномочия Общественных советов при ФАС России обсудили участники первого Всероссийского «слёта» Общественных советов антимонопольной службы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Мероприятие, которое состоялось 5 декабря в Москве на площадке Общественной палаты РФ, собрало более 200 представителей общественных организаций и бизнес объединений. Цель «слёта» - создать систему общественного контроля развития конкуренции в субъектах РФ и на федеральном уровне, а также разработать инновационные подходы и инструменты взаимодействия общественных советов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Модераторами пленарной сессии выступили Андрей Шаронов, председатель Общественного совета при ФАС России, президент Московской школы управления СКОЛКОВО и Владислав Гриб, председатель Комиссии Общественной палаты РФ по общественному контролю и взаимодействию с общественными советами.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Контрольно-финансового управления ФАС России Владимир Мишеловин рассказал о перспективах развития Общественных советов при антимонопольном ведомстве. Он напомнил присутствующим об Указе Президента России[1], который поставил задачу создать систему Общественных советов на базе общественно-консультативных советов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«Считаю, что вместе мы с этой задачей справились. А что дальше? </w:t>
      </w:r>
      <w:r>
        <w:t xml:space="preserve">- сказал начальник Контрольно-финансового управления ФАС России. - </w:t>
      </w:r>
      <w:r>
        <w:rPr>
          <w:i/>
        </w:rPr>
        <w:t xml:space="preserve">В проект Национального плана развития конкуренции на 2021-2025 год мы закладываем новую идею: перейти к полноценной системе общественного контроля за развитием конкуренции и исполнением Нацплана на базе системы общественных и экспертных советов, которые созданы при антимонопольном ведомстве».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целях общественных советов, Владимир Мишеловин обратил внимание, в том числе на содействие и контроль достижения ключевых показателей Национальных проектов и обеспечение проконкурентных подходов при их реализации.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Переходя к механизму взаимодействия Общественных советов, спикер обратил внимание на то, что </w:t>
      </w:r>
      <w:r>
        <w:rPr>
          <w:i/>
        </w:rPr>
        <w:t xml:space="preserve">«только при центральном аппарате ФАС России существует 26 отраслевых Экспертных совета, и мы считаем, что они должны входить в общую систему общественного контроля развития конкуренции. И несомненно использовать потенциал научного сообщества – 54 профильных кафедр в ведущих вузах страны».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[photo_1522]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Указ Президента Российской Федерации от 21.12.2017 № 618 «Об основных направлениях государственной политики по развитию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[video_2520]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