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рекомендации по внедрению лучших практик по развитию конкуренции на финансовых рынках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Документ, разработанный в рамках реализации «дорожной карты» по развитию конкуренции[1], предоставляет методическую поддержку и предлагает возможные к реализации мероприятия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 с рекомендациями по формированию пакета лучших практик по развитию конкуренции на финансовом рынке субъектов Российской Федерации
        </w:t>
        </w:r>
      </w:hyperlink>
      <w:r>
        <w:t xml:space="preserve"> разработан при участии Центрального банка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предлагается </w:t>
      </w:r>
      <w:r>
        <w:rPr>
          <w:b/>
        </w:rPr>
        <w:t xml:space="preserve">установление заявительного порядка участия финансовых организаций в региональных программах льготного финансирования (субсидирования)</w:t>
      </w:r>
      <w:r>
        <w:t xml:space="preserve"> без предъявления к ним каких-либо требований помимо общих требований по оценке правоспособности.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Целесообразно и проведение работы по популяризации действующих в субъектах Российской Федерации программ льготного финансирования, направленных, в том числе, на поддержку малого и среднего предпринимательства. Например, создание руководством регионов единых реестров всех действующих на территориях программ льготного финансирования с подробным описанием предлагаемых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Важный блок рекомендованных в докладе мероприятий посвящен вопросам стимулирования и адвокатирования конкуренции </w:t>
      </w:r>
      <w:r>
        <w:rPr>
          <w:b/>
        </w:rPr>
        <w:t xml:space="preserve">при выплате гражданам заработной платы, пенсионных и иных социальных выплат.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Граждане Российской Федерации вправе самостоятельно выбирать организации для получения этих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 настоящее время они в большинстве своем могут быть не осведомлены о наличии такого права. Также сохраняется вероятность того, что работодатели или сотрудники отдельных органов и организаций навязывают в своих интересах выгодную для них кредитную организацию, например, в рамках реализации так называемых «зарплатных проектов».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могут привести к искусственному перераспределению спроса и содержать в себе серьезные риски для ограничения конкуренции на рынке банковских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доклад рекомендует, в том числе, проведение профилактической работы по недопущению злоупотребления сотрудниками своими полномочиями при организации выплаты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актуальной темой в части обеспечения реализации прав граждан на выбор финансовой организации является </w:t>
      </w:r>
      <w:r>
        <w:rPr>
          <w:b/>
        </w:rPr>
        <w:t xml:space="preserve">добровольное страхование жилья.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для жилых помещений в многоквартирных домах оплата страховой услуги может осуществляться одновременно с оплатой жилого помещения и 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оплате жилищно-коммунальных услуг с использованием электронных способов (через личный кабинет гражданина, мобильное приложение и т.п.) итоговая сумма платежа в ряде случаев уже содержит в себе сумму на оплату услуг по добровольному страхованию. То есть самостоятельно исключить стоимость страховки из общей суммы платежа граждане могут только сняв соответствующие предустановленные отметки.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предустановленных отметок не может восприниматься как однозначное выражение воли и согласия потребителя и создает искусственные предпосылки для заключения договора страхования, так как отметки проставлены не самим потребителем, а юридическим лицом, которое может быть заинтересовано в приобретении страхователем дополнительных услуг, в том числе в силу заключенного им с конкретным страховщиком агентского договора. При этом с учетом платности данных услуг неочевидно, что проставление отметок «по умолчанию» создает для потребителя однозначно положительный эффект. Такая практика может создавать преимущества отдельным страховщикам.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 в докладе рекомендовано информировать граждан как о добровольности таких услуг, так и о возможностях выбора услуг любого страховщика, осуществляющего соответствующие виды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таким мероприятиям относится: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обеспечение раздельного учета суммы платежа за жилищно-коммунальные услуги и суммы на оплату услуг по добровольному страхованию жилья как в платежных документах, так и в личных кабинетах граждан на соответствующих ресурсах или в мобильных приложениях;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указание в платежных документах, личных кабинетах граждан и в мобильных приложениях наименования страховой организации, информации о страховой сумме по такому договору и перечне покрываемых по нему страховых рисков (либо указание источника, из которого потребитель может получить такую информацию);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недопущение использования в личных кабинетах или в мобильных приложениях предустановленных отметок с согласием на заключение договора добровольного страхования жилья.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также обращается внимание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изданное ФАС России и Банком России еще в 2018 году письмо
        </w:t>
        </w:r>
      </w:hyperlink>
      <w:r>
        <w:t xml:space="preserve">, в котором </w:t>
      </w:r>
      <w:r>
        <w:rPr>
          <w:b/>
        </w:rPr>
        <w:t xml:space="preserve">ведомства не рекомендуют финансовым организациям указывать при продвижении своих услуг на прямое или косвенное государственное участие в капитале как на преимущество</w:t>
      </w:r>
      <w:r>
        <w:t xml:space="preserve">. Использование подобной информации финансовыми организациями с госучастием при продвижении своих услуг может создавать у потребителей впечатление о повышенной надежности этих организаций, что в некоторых случаях может приводить к возникновению у них нерыночного преимущества.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регуляторы рекомендуют органам государственной власти субъектов Российской Федерации, участвующим в капиталах кредитных организаций, направить в эти кредитные организации рекомендации не указывать на факт государственного участия в капитале при продвижении своих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Надо отметить, что обратные действия финансовых организаций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могут рассматриваться на предмет недобросовестной конкуренции.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доклада, как полагает ФАС России, должны создать предпосылки не только к созданию и распространению в регионах положительных практик по развитию конкуренции на финансовых рынках, но и обеспечить более полную информированность органов исполнительной власти субъектов Российской Федерации о текущей работе в этом направлении федерального центра.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на финансовом рынке – ключевой фактор повышения его эффективности, который стимулирует институты рынка к совершенствованию бизнес-моделей, применению инновационных решений, а также более полному удовлетворению запросов потребителей»</w:t>
      </w:r>
      <w:r>
        <w:t xml:space="preserve">, – отмечает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План мероприятий («дорожная карта»)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утвержденный распоряжением Правительства Российской Федерации от 16.08.2018 № 1697-р.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285" TargetMode="External" Id="rId8"/>
  <Relationship Type="http://schemas.openxmlformats.org/officeDocument/2006/relationships/hyperlink" Target="https://fas.gov.ru/news/25684" TargetMode="External" Id="rId9"/>
  <Relationship Type="http://schemas.openxmlformats.org/officeDocument/2006/relationships/hyperlink" Target="https://fas.gov.ru/news/2910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