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определила цели и задачи на 2020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также разработала разъяснения, позволяющие разграничить основания для квалификации действий хозсубъектов как нарушение статей 10, 11 или 17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2020 года в ФАС России состоялось очередное заседание Методического совета. Эксперты рассмотрели Публичную декларацию целей и задач ФАС России на 2020 год и обсудили проект Разъяснений о применении статей 10, 11 и 17 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состоявшемся заседании мы одобрили Публичную декларацию целей и задач антимонопольного ведомства на 2020 год. Ежегодно ФАС России принимает такие цели в доступной для восприятия общественности форме. Это один из способов, позволяющих обеспечить открытость информации о нашей работе для дальнейшей оценки проводимой ведомством антимонопольной политики</w:t>
      </w:r>
      <w:r>
        <w:rPr>
          <w:i/>
        </w:rPr>
        <w:t xml:space="preserve">2</w:t>
      </w:r>
      <w:r>
        <w:rPr>
          <w:i/>
        </w:rPr>
        <w:t xml:space="preserve">», - </w:t>
      </w:r>
      <w:r>
        <w:t xml:space="preserve">прокомментировал Председатель Методического совета, заместитель руководителя ФАС России Андрей Цыганов</w:t>
      </w:r>
      <w:r>
        <w:rPr>
          <w:i/>
        </w:rPr>
        <w:t xml:space="preserve">. – Работа по Публичной декларации будет продолжена, мы планируем обсудить документ с референтными группами и вынести его на заседание Общественного совета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также были рассмотрены подготовленные Правовым управлением ФАС России разъяснения по вопросу применения статей 10, 11, 17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неоднозначной правоприменительной практики антимонопольные органы регулярно сталкиваются с вопросом о квалификации действий (бездействия) хозяйствующих субъектов при осуществлении закупок товаров, работ и услуг у единственного поставщика</w:t>
      </w:r>
      <w:r>
        <w:rPr>
          <w:i/>
        </w:rPr>
        <w:t xml:space="preserve">3</w:t>
      </w:r>
      <w:r>
        <w:rPr>
          <w:i/>
        </w:rPr>
        <w:t xml:space="preserve">. Разъяснения базируются на проведенном анализе как судебной, так и правоприменительной практики по вопросам осуществления закупок у единственного поставщика, который позволил разграничить основания для квалификации действий хозяйствующих субъектов как нарушение статей 10, 11 или 17 Закона о защите конкуренции», - </w:t>
      </w:r>
      <w:r>
        <w:t xml:space="preserve">пояснил начальник Правового управления ФАС России Артём Молчанов</w:t>
      </w:r>
      <w:r>
        <w:rPr>
          <w:i/>
        </w:rPr>
        <w:t xml:space="preserve">. - Так, значение имеет как состав действий нарушителя – например, при установлении факта заключения антиконкурентного соглашения, так и статус хозяйствующего субъекта – например, наличие у него доминирующего положения при установлении факта злоупотребления по статье 10 Закона 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разъяснений в целом одобрен экспертами Методического совета и в ближайшее время будет вынесен на Президиум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[photo_1577]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осуществления хозяйствующими субъектами закупок товаров, работ, услуг у единственного поставщика.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Публичная декларация целей и задач является одним из ключевых механизмов, закрепленных в Стандарте открытости федеральных органов исполнительной власти. Публичные декларации целей и задач включаются в стратегические планы федеральных органов исполнительной власти. Это предусмотрено постановлением Правительства от 26 декабря 2015 года о порядке разработки, корректировки, мониторинга и контроля реализации таких планов.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Федеральным законом от 18 июля 2011 года № 223-ФЗ «О закупках товаров, работ, услуг отдельными видами юридических лиц».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