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2019 году выросло количество выявленных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итогам года возбуждено более 900 дел о картелях и иных антиконкурентных соглашениях</w:t>
      </w:r>
      <w:r>
        <w:br/>
      </w:r>
      <w:r>
        <w:br/>
      </w:r>
      <w:r>
        <w:t xml:space="preserve">
В 2019 году ФАС России возбуждено 944 дела об антиконкурентных соглашениях и запрещенных согласованных действиях хозяйствующих субъектов, из них 424 дела о картелях, преимущественно – сговоры на торгах (320), а также принято 810 решений о нарушении антимонопольного законодательства.</w:t>
      </w:r>
      <w:r>
        <w:br/>
      </w:r>
      <w:r>
        <w:br/>
      </w:r>
      <w:r>
        <w:br/>
      </w:r>
      <w:r>
        <w:t xml:space="preserve">
Рис.1 Количество возбужденных дел и принятых решений по ст. 11, 11.1, 16 и п.1 ч.1 ст.17</w:t>
      </w:r>
      <w:r>
        <w:br/>
      </w:r>
      <w:r>
        <w:br/>
      </w:r>
      <w:r>
        <w:t xml:space="preserve">
Значительную часть среди них занимают соглашения с участием органов государственной власти и местного самоуправления.</w:t>
      </w:r>
      <w:r>
        <w:br/>
      </w:r>
      <w:r>
        <w:br/>
      </w:r>
      <w:r>
        <w:t xml:space="preserve">
Так, в 2019 году антимонопольными органами возбуждено 320 дел по признакам нарушения статьи 16 Закона о защите конкуренции, а также принято 292 решения по факту заключения соглашений с органами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«Выявляемые нами нарушения свидетельствуют о том, что картельные сговоры совершаются на любых видах торгов и в любых отраслях экономической деятельности. Картели являются одним из главных вызовов финансового благополучия российской экономики, нанося ей существенный ущерб и приводя к регрессу. Поэтому противодействие и пресечение таких соглашений – одно из важнейших направлений работы антимонопольного органа, особенно в условиях борьбы с распространением COVID-19»</w:t>
      </w:r>
      <w:r>
        <w:t xml:space="preserve">, - отметил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Статья 16 Закона о защите конкуренции запрещает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