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23 апреля 2020 года</w:t>
      </w:r>
    </w:p>
    <w:p xmlns:w="http://schemas.openxmlformats.org/wordprocessingml/2006/main" xmlns:pkg="http://schemas.microsoft.com/office/2006/xmlPackage" xmlns:str="http://exslt.org/strings" xmlns:fn="http://www.w3.org/2005/xpath-functions">
      <w:r>
        <w:t xml:space="preserve">20 апреля 2020, 14:41</w:t>
      </w:r>
    </w:p>
    <w:p xmlns:w="http://schemas.openxmlformats.org/wordprocessingml/2006/main" xmlns:pkg="http://schemas.microsoft.com/office/2006/xmlPackage" xmlns:str="http://exslt.org/strings" xmlns:fn="http://www.w3.org/2005/xpath-functions">
      <w:pPr>
        <w:jc w:val="both"/>
      </w:pPr>
      <w:r>
        <w:rPr>
          <w:i/>
        </w:rPr>
        <w:t xml:space="preserve">Мероприятие пройдет в заочной форме</w:t>
      </w:r>
    </w:p>
    <w:p xmlns:w="http://schemas.openxmlformats.org/wordprocessingml/2006/main" xmlns:pkg="http://schemas.microsoft.com/office/2006/xmlPackage" xmlns:str="http://exslt.org/strings" xmlns:fn="http://www.w3.org/2005/xpath-functions">
      <w:pPr>
        <w:jc w:val="both"/>
      </w:pPr>
      <w:r>
        <w:rPr>
          <w:b/>
        </w:rPr>
        <w:t xml:space="preserve">В повестку включен вопрос:</w:t>
      </w:r>
    </w:p>
    <w:p xmlns:w="http://schemas.openxmlformats.org/wordprocessingml/2006/main" xmlns:pkg="http://schemas.microsoft.com/office/2006/xmlPackage" xmlns:str="http://exslt.org/strings" xmlns:fn="http://www.w3.org/2005/xpath-functions">
      <w:pPr>
        <w:jc w:val="both"/>
      </w:pPr>
      <w:r>
        <w:t xml:space="preserve">о внесении изменений в приказ ФСТ России от 27 июля 2010 г. № 156-т/1 «Об утверждении тарифов, сборов и платы на работы (услуги), связанные с перевозкой пассажиров, багажа и грузобагажа 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«Пассажирская компания «Сахалин», ОАО «АК «Железные дороги Якутии» и на работы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цен (тарифов) на работы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багажа и грузобагажа железнодорожным транспортом общего пользования в пригородном сообщении в субъектах Российской Федерации, а также правил их применения (Тарифное руководство)».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