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подготовлены ключевые новации в системе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Поправки, предусматривающие упрощение закупок и поддержку добросовестных предпринимателей, находятся на рассмотрении в Правительстве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рассказал о перспективах развития законодательства в сфере госзакупок в ходе онлайн-конференции ИД «Актион-МЦФР», в которой приняли участие порядка 9 тысяч человек.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«Совместно с Минфином и Казначейством мы подготовили большой пакет поправок в 44-ФЗ. Многие положения будут принципиально изменены в целях упрощения и повышения эффективности закупочных процедур, мотивации добросовестных предпринимателей и предупреждения сговоров на торгах»,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Документ, внесенный в Правительство, предусматривает сокращение количества способов проведения закупок, полный отказ от цикличности. Заказчику не потребуется повторно объявлять торги, если никто не пришел на них, он сможет обратиться в антимонопольный орган для согласования заключения контракта с единственным поставщиком.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«ловушками» для формального отклонения участников, в законопроект включены предложения ФАС России по распространению «согласия», введённое в сфере строительства, и на остальные закупки работ и услуг, а также с определёнными особенностями и на закупку товаров, что позволит уйти от требований к предпринимателям заполнять многостраничные заявки и исключит искусственные причины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снижения возможности сговора на торгах предлагается начинать проведение аукционов через 2 часа после окончания срока подачи заявок для всех видов товаров, работ,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борьбы с «профессиональными жалобщиками» и в целях повышения качества исполнения контрактов по 44-ФЗ вводится универсальная предквалификация. Подать жалобу на закупку сможет только то лицо, которое имеет опыт исполненного контракта/договора на сумму не менее 20% от начальной цены контракта для всех закупок свыше 20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вводится рейтинг деловой репутации предпринимателей, который будет формироваться автоматически ЕИС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ключевое предложение по развитию добросовестной конкуренции. Компании, за плечами которых есть большое количество качественно исполненных контрактов, должны иметь экономические преференции</w:t>
      </w:r>
      <w:r>
        <w:t xml:space="preserve">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сбалансированности прав и обязанностей сторон совершенствуется процедура одностороннего расторжения контрактов. Предприниматели получат право обжаловать решение заказчика об одностороннем расторжении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расширяется функционал ЕИС. Все жалобы будут подаваться исключительно через ЕИС с автоматическим уведомлением всех заинтересованных лиц. Также в систему планируется перевести всю претензионную переписку.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считает целесообразным введение единой формы банковской гарантии, что исключит большое количество ошибок. Соответствующее предложение предлагается включить в законопроект, когда он будет готовиться ко второму чтению.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в видео: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[video_2759]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