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по строительству школы в Карелии за 1,2 млрд рублей проходила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2020,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предъявил противоречивые требования к размеру обеспечения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«Пару групп» на действия Управления капитального строительства Республики Карелия при закупке работ по строительству школы в г. Кеми мощностью 1200 мест с ценой контракта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жалобы подтвердились в части установления в проекте госконтракта противоречивых сведений о размере обеспечения гарантийных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внеплановой проверки Комиссия ФАС России выявила некорректно установленные заказчиком возможные виды и объемы работ, которые исполнитель обязан выполнить самостоятельно без привлечения других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Заказчику предписано устранить выявленные нарушения при заключении контракта</w:t>
      </w:r>
      <w:r>
        <w:t xml:space="preserve">», 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