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Развитие конкуренции в регионах России в центре внимания ФАС</w:t>
      </w:r>
    </w:p>
    <w:p xmlns:w="http://schemas.openxmlformats.org/wordprocessingml/2006/main" xmlns:pkg="http://schemas.microsoft.com/office/2006/xmlPackage" xmlns:str="http://exslt.org/strings" xmlns:fn="http://www.w3.org/2005/xpath-functions">
      <w:r>
        <w:t xml:space="preserve">15 июля 2020, 20:40</w:t>
      </w:r>
    </w:p>
    <w:p xmlns:w="http://schemas.openxmlformats.org/wordprocessingml/2006/main" xmlns:pkg="http://schemas.microsoft.com/office/2006/xmlPackage" xmlns:str="http://exslt.org/strings" xmlns:fn="http://www.w3.org/2005/xpath-functions">
      <w:pPr>
        <w:jc w:val="both"/>
      </w:pPr>
      <w:r>
        <w:rPr>
          <w:i/>
        </w:rPr>
        <w:t xml:space="preserve">15 июля в формате видеоконференцсвязи состоялся региональный семинар-совещание территориальных органов ФАС России, расположенных в Центральном федеральном округе</w:t>
      </w:r>
    </w:p>
    <w:p xmlns:w="http://schemas.openxmlformats.org/wordprocessingml/2006/main" xmlns:pkg="http://schemas.microsoft.com/office/2006/xmlPackage" xmlns:str="http://exslt.org/strings" xmlns:fn="http://www.w3.org/2005/xpath-functions">
      <w:pPr>
        <w:jc w:val="both"/>
      </w:pPr>
      <w:r>
        <w:t xml:space="preserve">В своем выступлении заместитель начальника Правового управления Оксана Кузнецова отметила, что в конце этого года будут подведены итоги реализации Национального плана развития конкуренции 2018-2020 гг.</w:t>
      </w:r>
    </w:p>
    <w:p xmlns:w="http://schemas.openxmlformats.org/wordprocessingml/2006/main" xmlns:pkg="http://schemas.microsoft.com/office/2006/xmlPackage" xmlns:str="http://exslt.org/strings" xmlns:fn="http://www.w3.org/2005/xpath-functions">
      <w:pPr>
        <w:jc w:val="both"/>
      </w:pPr>
      <w:r>
        <w:t xml:space="preserve">За последние несколько лет была создана основа конкурентной политики, приняты Нацплан и Дорожная карта по развитию конкуренции (Распоряжение Правительства №1697-р), кроме того, Президентом Российской Федерации были даны поручения по итогам Госсовета по вопросам развития конкуренции.</w:t>
      </w:r>
    </w:p>
    <w:p xmlns:w="http://schemas.openxmlformats.org/wordprocessingml/2006/main" xmlns:pkg="http://schemas.microsoft.com/office/2006/xmlPackage" xmlns:str="http://exslt.org/strings" xmlns:fn="http://www.w3.org/2005/xpath-functions">
      <w:pPr>
        <w:jc w:val="both"/>
      </w:pPr>
      <w:r>
        <w:t xml:space="preserve">«</w:t>
      </w:r>
      <w:r>
        <w:rPr>
          <w:i/>
        </w:rPr>
        <w:t xml:space="preserve">По сравнению с 2017 годом в 1,3 раза сократилось количество нарушений антимонопольного законодательства со стороны органов власти, но наша цель – снижение в 2 раза. Удалось достичь еще одного результата - во всех отраслях экономики обеспечено присутствие не менее 3 хозяйствующих субъектов, не менее чем 1 из которых относится к частному бизнесу, за исключением сфер деятельности субъектов естественных монополий и организаций оборонно-промышленного комплекса</w:t>
      </w:r>
      <w:r>
        <w:t xml:space="preserve">», - заявила Оксана Кузнецова.</w:t>
      </w:r>
    </w:p>
    <w:p xmlns:w="http://schemas.openxmlformats.org/wordprocessingml/2006/main" xmlns:pkg="http://schemas.microsoft.com/office/2006/xmlPackage" xmlns:str="http://exslt.org/strings" xmlns:fn="http://www.w3.org/2005/xpath-functions">
      <w:pPr>
        <w:jc w:val="both"/>
      </w:pPr>
      <w:r>
        <w:t xml:space="preserve">За последние годы принят ряд законов, который ФАС считает значимыми для экономики: о запрете создания ГУПов и МУПов на конкурентных рынках, о не приостановлении предписаний в отношении органов власти и органов местного самоуправления в суд и об антимонопольном комплаенсе. </w:t>
      </w:r>
    </w:p>
    <w:p xmlns:w="http://schemas.openxmlformats.org/wordprocessingml/2006/main" xmlns:pkg="http://schemas.microsoft.com/office/2006/xmlPackage" xmlns:str="http://exslt.org/strings" xmlns:fn="http://www.w3.org/2005/xpath-functions">
      <w:pPr>
        <w:jc w:val="both"/>
      </w:pPr>
      <w:r>
        <w:t xml:space="preserve">Большими достижениями стали отмена роуминга, ряд реформ в рамках Закона о контрактной системе, развитие биржевой торговли и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w:t>
      </w:r>
      <w:r>
        <w:rPr>
          <w:i/>
        </w:rPr>
        <w:t xml:space="preserve">Регионы активно включились в работу по исполнению Нацплана, все 100% утвердили ключевые показатели развития конкуренции, актуализировали дорожные карты, приняли акты о внедрении антимонопольного комплаенса</w:t>
      </w:r>
      <w:r>
        <w:t xml:space="preserve">», - подчеркнула Оксана Кузнецова. В качестве положительного примера она привела практики города Москвы, а также Белгородской, Московской, Липецкой и Воронежской областей.</w:t>
      </w:r>
    </w:p>
    <w:p xmlns:w="http://schemas.openxmlformats.org/wordprocessingml/2006/main" xmlns:pkg="http://schemas.microsoft.com/office/2006/xmlPackage" xmlns:str="http://exslt.org/strings" xmlns:fn="http://www.w3.org/2005/xpath-functions">
      <w:pPr>
        <w:jc w:val="both"/>
      </w:pPr>
      <w:r>
        <w:t xml:space="preserve">[video_2819]</w:t>
      </w:r>
    </w:p>
    <w:p xmlns:w="http://schemas.openxmlformats.org/wordprocessingml/2006/main" xmlns:pkg="http://schemas.microsoft.com/office/2006/xmlPackage" xmlns:str="http://exslt.org/strings" xmlns:fn="http://www.w3.org/2005/xpath-functions">
      <w:pPr>
        <w:jc w:val="both"/>
      </w:pPr>
      <w:r>
        <w:t xml:space="preserve">8 января 2020 года вступил в силу Федеральный закон № 485-ФЗ о запрете деятельности унитарных предприятий на конкурентных рынках. 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10% совокупной выручки унитарного предприятия за последний календарный год. Переходный период для вступления в силу положений Закона установлен до 1 января 2025 года, что даст возможность провести реорганизацию предприятий из государственной в иную форму собственности.</w:t>
      </w:r>
    </w:p>
    <w:p xmlns:w="http://schemas.openxmlformats.org/wordprocessingml/2006/main" xmlns:pkg="http://schemas.microsoft.com/office/2006/xmlPackage" xmlns:str="http://exslt.org/strings" xmlns:fn="http://www.w3.org/2005/xpath-functions">
      <w:pPr>
        <w:jc w:val="both"/>
      </w:pPr>
      <w:r>
        <w:t xml:space="preserve">«</w:t>
      </w:r>
      <w:r>
        <w:rPr>
          <w:i/>
        </w:rPr>
        <w:t xml:space="preserve">По всем возникающим у регионов вопросам мы должны найти решения уже сейчас, чтобы успешно реализовать реформу ГУП до 2025 года. В наших общих интересах снизить негативное влияние унитарных предприятий на конкуренцию и повысить эффективность и прозрачность использования государственного и муниципального имущества</w:t>
      </w:r>
      <w:r>
        <w:t xml:space="preserve">», - подытожила заместитель начальника Правового управления ФАС России.</w:t>
      </w:r>
    </w:p>
    <w:p xmlns:w="http://schemas.openxmlformats.org/wordprocessingml/2006/main" xmlns:pkg="http://schemas.microsoft.com/office/2006/xmlPackage" xmlns:str="http://exslt.org/strings" xmlns:fn="http://www.w3.org/2005/xpath-functions">
      <w:pPr>
        <w:jc w:val="both"/>
      </w:pPr>
      <w:r>
        <w:t xml:space="preserve">Замначальника Контрольно-финансового управления ФАС России Елена Рыбаченко в рамках своего выступления о внедрении Стандарта развития конкуренции в субъектах РФ в 2019 году рассказала о работе органа в части изменений нормативно правовой базы и лучших практиках регионов, а также об изменениях в методике мониторинга товарных рынков.</w:t>
      </w:r>
    </w:p>
    <w:p xmlns:w="http://schemas.openxmlformats.org/wordprocessingml/2006/main" xmlns:pkg="http://schemas.microsoft.com/office/2006/xmlPackage" xmlns:str="http://exslt.org/strings" xmlns:fn="http://www.w3.org/2005/xpath-functions">
      <w:pPr>
        <w:jc w:val="both"/>
      </w:pPr>
      <w:r>
        <w:t xml:space="preserve">«</w:t>
      </w:r>
      <w:r>
        <w:rPr>
          <w:i/>
        </w:rPr>
        <w:t xml:space="preserve">В целом, регионы справились, антимонопольное ведомство в этом оказало активную поддержку. Некоторых ключевых показателей было невозможно достичь, но большинство регионов достаточно хорошо отработали, поэтому к 2022 году, мы уверены, они достигнут всех ключевых показателей</w:t>
      </w:r>
      <w:r>
        <w:t xml:space="preserve">», - отметила она.</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по борьбе с картелями ФАС России Екатерина Конопкина рассказала о проблемах доказывания ограничивающих конкуренцию соглашений, а также о способах их решения.</w:t>
      </w:r>
    </w:p>
    <w:p xmlns:w="http://schemas.openxmlformats.org/wordprocessingml/2006/main" xmlns:pkg="http://schemas.microsoft.com/office/2006/xmlPackage" xmlns:str="http://exslt.org/strings" xmlns:fn="http://www.w3.org/2005/xpath-functions">
      <w:pPr>
        <w:jc w:val="both"/>
      </w:pPr>
      <w:r>
        <w:t xml:space="preserve">В рамках своей темы спикер затронула перечень оснований для признания действий группы лиц допустимыми в силу их «подконтрольности», вопросы запрета картелей «per se», а также отметила основные проблемы, возникающие при квалификации и доказывании антиконкурентных соглашений.</w:t>
      </w:r>
    </w:p>
    <w:p xmlns:w="http://schemas.openxmlformats.org/wordprocessingml/2006/main" xmlns:pkg="http://schemas.microsoft.com/office/2006/xmlPackage" xmlns:str="http://exslt.org/strings" xmlns:fn="http://www.w3.org/2005/xpath-functions">
      <w:pPr>
        <w:jc w:val="both"/>
      </w:pPr>
      <w:r>
        <w:t xml:space="preserve">В частности, акцентировано внимание территориальных органов на закрытом перечне оснований для признания действий картелистов законными, к которым не могут быть отнесены гражданско-правовые договоры различного характера: договор доверительного управления, корпоративный договор, договор о сотрудничестве и иные.</w:t>
      </w:r>
    </w:p>
    <w:p xmlns:w="http://schemas.openxmlformats.org/wordprocessingml/2006/main" xmlns:pkg="http://schemas.microsoft.com/office/2006/xmlPackage" xmlns:str="http://exslt.org/strings" xmlns:fn="http://www.w3.org/2005/xpath-functions">
      <w:pPr>
        <w:jc w:val="both"/>
      </w:pPr>
      <w:r>
        <w:t xml:space="preserve">Екатерина Конопкина отметила, что судебная практика поддерживает позицию антимонопольного органа о том, что в качестве доказательства перехода доли в уставном капитале (одно из оснований «подконтрольности») надлежит рассматривать только официальные документы, например, данные из ЕГРЮЛ, где фиксируются любые сделки с долями.</w:t>
      </w:r>
    </w:p>
    <w:p xmlns:w="http://schemas.openxmlformats.org/wordprocessingml/2006/main" xmlns:pkg="http://schemas.microsoft.com/office/2006/xmlPackage" xmlns:str="http://exslt.org/strings" xmlns:fn="http://www.w3.org/2005/xpath-functions">
      <w:pPr>
        <w:jc w:val="both"/>
      </w:pPr>
      <w:r>
        <w:t xml:space="preserve">«</w:t>
      </w:r>
      <w:r>
        <w:rPr>
          <w:i/>
        </w:rPr>
        <w:t xml:space="preserve">Что касается доводов участников картелей о необходимости доказывания негативного эффекта на рынок. Суды в абсолютном большинстве, соглашаясь с антимонопольным органом, указывают, что при наступлении или возможности наступления последствий заключения антиконкурентного соглашения доказыванию подлежит причинно-следственная связь между соглашением и наступившими или потенциальными последствиями в виде повышения, снижения или поддержания цен на торгах. А факт ограничения конкуренции в случае наступления либо возможности наступления негативных последствий презюмируется</w:t>
      </w:r>
      <w:r>
        <w:t xml:space="preserve">», - отметила Екатерина Конопкина</w:t>
      </w:r>
    </w:p>
    <w:p xmlns:w="http://schemas.openxmlformats.org/wordprocessingml/2006/main" xmlns:pkg="http://schemas.microsoft.com/office/2006/xmlPackage" xmlns:str="http://exslt.org/strings" xmlns:fn="http://www.w3.org/2005/xpath-functions">
      <w:pPr>
        <w:jc w:val="both"/>
      </w:pPr>
      <w:r>
        <w:t xml:space="preserve">Также спикер добавила: «</w:t>
      </w:r>
      <w:r>
        <w:rPr>
          <w:i/>
        </w:rPr>
        <w:t xml:space="preserve">Осуществление методического взаимодействия между УФАС и центральным аппаратом является ключевым фактором для формирования верного правоприменения. Хочется отметить, что в результате такого взаимодействия качество принимаемых актов значительно улучшилось</w:t>
      </w:r>
      <w:r>
        <w:t xml:space="preserve">».</w:t>
      </w:r>
    </w:p>
    <w:p xmlns:w="http://schemas.openxmlformats.org/wordprocessingml/2006/main" xmlns:pkg="http://schemas.microsoft.com/office/2006/xmlPackage" xmlns:str="http://exslt.org/strings" xmlns:fn="http://www.w3.org/2005/xpath-functions">
      <w:pPr>
        <w:jc w:val="both"/>
      </w:pPr>
      <w:r>
        <w:t xml:space="preserve">Москва за счет эффективно выстроенной системы контроля обеспечивает высокий уровень конкуренции, выступая при этом крупнейшим регионом-заказчиком страны.</w:t>
      </w:r>
    </w:p>
    <w:p xmlns:w="http://schemas.openxmlformats.org/wordprocessingml/2006/main" xmlns:pkg="http://schemas.microsoft.com/office/2006/xmlPackage" xmlns:str="http://exslt.org/strings" xmlns:fn="http://www.w3.org/2005/xpath-functions">
      <w:pPr>
        <w:jc w:val="both"/>
      </w:pPr>
      <w:r>
        <w:t xml:space="preserve">«</w:t>
      </w:r>
      <w:r>
        <w:rPr>
          <w:i/>
        </w:rPr>
        <w:t xml:space="preserve">Именно конкуренция позволяет столице экономить на закупках значительный объем финансовых средств, который город затем направляет на развитие приоритетных проектов и сервисов для жителей города. Сегодня в Москве используется широкий спектр инструментов контроля, одним из которых выступает – межведомственная рабочая группа, проверяющая обоснованность закупок и состав закупочной документации. В прошлом году объем рассмотренных в рамках ее работы закупок составил почти 1 трлн рублей, а это в 2 раза больше чем двумя годами ранее</w:t>
      </w:r>
      <w:r>
        <w:t xml:space="preserve">», - сказал министр Правительства Москвы, начальник Главного контрольного управления города Москвы Евгений Данчиков.</w:t>
      </w:r>
    </w:p>
    <w:p xmlns:w="http://schemas.openxmlformats.org/wordprocessingml/2006/main" xmlns:pkg="http://schemas.microsoft.com/office/2006/xmlPackage" xmlns:str="http://exslt.org/strings" xmlns:fn="http://www.w3.org/2005/xpath-functions">
      <w:pPr>
        <w:jc w:val="both"/>
      </w:pPr>
      <w:r>
        <w:t xml:space="preserve">«</w:t>
      </w:r>
      <w:r>
        <w:rPr>
          <w:i/>
        </w:rPr>
        <w:t xml:space="preserve">В сегодняшней непростой экономической ситуации совместное обсуждение вопросов развития конкурентной среды актуально как никогда. Обмен мнениями и опытом с коллегами из других регионов помогает нам всем лучше понимать существующие тенденции и формировать требования к работе в текущих условиях. В кризис возрастают риски использования в бизнесе недобросовестных схем, ведущих к снижению или ограничению конкуренции на рынке, поэтому одной из задач государства является оказание поддержки предпринимателей, которая направлена, в том числе, на недопущение использования недобросовестных методов ведения бизнеса. Своевременные и взвешенные адресные меры поддержки позволяют предотвратить развитие ситуации по негативному сценарию и не только помогают участникам рынка, но и способствуют поддержанию конкурентных отношений между субъектами предпринимательства</w:t>
      </w:r>
      <w:r>
        <w:t xml:space="preserve">», - считает министр экономики Правительства Москвы, руководитель Департамента экономической политики и развития города Кирилл Пуртов.</w:t>
      </w:r>
    </w:p>
    <w:p xmlns:w="http://schemas.openxmlformats.org/wordprocessingml/2006/main" xmlns:pkg="http://schemas.microsoft.com/office/2006/xmlPackage" xmlns:str="http://exslt.org/strings" xmlns:fn="http://www.w3.org/2005/xpath-functions">
      <w:pPr>
        <w:jc w:val="both"/>
      </w:pPr>
      <w:r>
        <w:t xml:space="preserve">Кроме того, участники семинара-совещания заслушали доклад руководителя Департамента города Москвы по конкурентной политике Ивана Щербакова о развитии конкуренции в системе закупок и торгов города Москвы. </w:t>
      </w:r>
    </w:p>
    <w:p xmlns:w="http://schemas.openxmlformats.org/wordprocessingml/2006/main" xmlns:pkg="http://schemas.microsoft.com/office/2006/xmlPackage" xmlns:str="http://exslt.org/strings" xmlns:fn="http://www.w3.org/2005/xpath-functions">
      <w:pPr>
        <w:jc w:val="both"/>
      </w:pPr>
      <w:r>
        <w:t xml:space="preserve">«</w:t>
      </w:r>
      <w:r>
        <w:rPr>
          <w:i/>
        </w:rPr>
        <w:t xml:space="preserve">Поддержка предпринимательства через систему государственных закупок – важный приоритет Москвы. В настоящее время более 50% всех госзакупок приходится на субъектов малого бизнеса.</w:t>
      </w:r>
      <w:r>
        <w:br/>
      </w:r>
      <w:r>
        <w:rPr>
          <w:i/>
        </w:rPr>
        <w:t xml:space="preserve">
Кроме того, на Портале поставщиков на сегодняшний день работают более 180 тысяч предпринимателей, 90% активных пользователей ресурса – представители малого и среднего бизнеса, ежедневно здесь заключается свыше 1000 контрактов. Для заказчиков и поставщиков Портал – это бесплатный и понятный инструмент, который обеспечивает равный и удобный доступ к закупкам малого объема.</w:t>
      </w:r>
      <w:r>
        <w:br/>
      </w:r>
      <w:r>
        <w:rPr>
          <w:i/>
        </w:rPr>
        <w:t xml:space="preserve">
Частью программы по поддержке субъектов малого предпринимательства является также и программа льготной аренды, по условиям которой город выставляет на аукцион по стартовой цене 1000 рублей за квадратный метр в год за подвальные помещения и 4750 рублей – за помещения на первых этажах, в настоящий момент на таких льготных условиях на инвестиционном портале выставлено на аренду 90 и 138 помещений соответственно</w:t>
      </w:r>
      <w:r>
        <w:t xml:space="preserve">», - сказал Иван Щербаков.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