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раскрыла антиконкурентное соглашение на Саяно-Шушенской ГЭС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июля 2020, 10:05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Контракты на выполнение строительных работ гидроэнергокомплекса были заключены с нарушением антимонопольного законодательства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признала ООО СК «Стройлайн» и ООО «Вымпел» сговорившимися в ходе закупок строительных работ на Саяно-Шушенской ГЭС им. Непорожнего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 По оценке антимонопольного органа незаконный доход компаний составил почти 800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Материалы уголовного дела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, направленные в ФАС Следственным управлением МВД по Республике Хакасия, явились основанием для возбуждения еще одного антимонопольного дела – теперь уже в отношении ПАО «РусГидро» и ООО «Стройлайн». ФАС России признала компании заключившими антиконкурентное соглашение, целью которого стало создание преимущественных условий на торгах для ООО «Стройлайн»</w:t>
      </w:r>
    </w:p>
    <w:r xmlns:w="http://schemas.openxmlformats.org/wordprocessingml/2006/main">
      <w:t xml:space="preserve">3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рассмотрения дела ФАС установила новые эпизоды нарушений, в связи с чем направила материалы в правоохранительные органы для дачи уголовно-правовой</w:t>
      </w:r>
    </w:p>
    <w:r xmlns:w="http://schemas.openxmlformats.org/wordprocessingml/2006/main">
      <w:t xml:space="preserve">4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оценки действий организаций.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соответствии с поручением Президента РФ</w:t>
      </w:r>
      <w:r>
        <w:rPr>
          <w:i/>
        </w:rPr>
        <w:t xml:space="preserve">5</w:t>
      </w:r>
      <w:r>
        <w:rPr>
          <w:i/>
        </w:rPr>
        <w:t xml:space="preserve"> мы тесно взаимодействуем с правоохранительными органами для пресечения деятельности преступных картелей. Одна из наших задач – сломать стереотип безнаказанности за содеянное. Саяно-Шушенская ГЭС – важнейший стратегический и социальный объект. Убежден, что закупки на его ремонт не должны проходить с нарушением закона»</w:t>
      </w:r>
      <w:r>
        <w:t xml:space="preserve">, - отметил начальник Управления по борьбе с картелями ФАС России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Нарушение п.2 ч.1 ст.11 Закона о защите конкуренции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Нарушение пункта «а» части 2 статьи 178 УК РФ</w:t>
      </w:r>
    </w:p>
    <w:r xmlns:w="http://schemas.openxmlformats.org/wordprocessingml/2006/main">
      <w:t xml:space="preserve">3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Нарушение п.1 ч.1 ст.17 Закона о защите конкуренции</w:t>
      </w:r>
    </w:p>
    <w:r xmlns:w="http://schemas.openxmlformats.org/wordprocessingml/2006/main">
      <w:t xml:space="preserve">4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П. «в» ч. 2. т. 178, ст.ст. 285 и 286 УК РФ</w:t>
      </w:r>
    </w:p>
    <w:r xmlns:w="http://schemas.openxmlformats.org/wordprocessingml/2006/main">
      <w:t xml:space="preserve">5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Взаимодействие с правоохранительными органами проходит в соответствии с межведомственной программой мер по выявлению и пресечению картелей и иных ограничивающих конкуренцию соглашений на 2019 - 2023 годы, разработанной ФАС России в рамках исполнения поручения Президента РФ в целях создания эффективной единообразной практики по борьбе с картелями и утвержденной Правительством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