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Два года конкуренция развивается по плану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не только смотрит в будущее, но и не забывает о важных событиях в истории развития конкуренции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честь 30-летия антимонопольного регулирования ФАС России разработала отдельный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
        </w:t>
        </w:r>
      </w:hyperlink>
      <w:r>
        <w:t xml:space="preserve">, где можно узнать о важных датах и вехах антимонопольной службы, увидеть главные результаты работы ведомства, основные изменения антимонопольного законодательства, людей, стоявших у истоков развития конкуренции в России и формирующих антимонопольную повестку в стране сейчас.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сегодня, 16 августа, плану мероприятий («дорожной карте») по развитию конкуренции в России в 2018-2020 гг. исполняется два года. За это время реализация мероприятий комплексной «дорожной карты» обеспечила слаженную работу регионов, создав условия для развития конкуренции на приоритетных и социально значимых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2020 год – завершающий год реализации Национального плана развития конкуренции. Сейчас перед ведомством стоит ряд важных задач, в том числе обеспечение достижения ключевых показателей Нацплана, исполнению мероприятий «дорожных карт» и реформированию унитарных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достижении ожидаемых результатов развития конкуренции ФАС России и территориальные органы отчитываются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Национального плана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2019 года достигнуто 19 из 38 целей, поставленных в «дорожной карте», в том числе:</w:t>
      </w:r>
      <w:r>
        <w:br/>
      </w:r>
      <w:r>
        <w:t xml:space="preserve">
• в сфере телекоммуникаций устранен внутрисетевой роуминг и ликвидированы дискриминационные ограничения для участников рынка в зависимости от технологии;</w:t>
      </w:r>
      <w:r>
        <w:br/>
      </w:r>
      <w:r>
        <w:t xml:space="preserve">
• частным организациям обеспечена возможность недискриминационного участия в оказании социальных услуг;</w:t>
      </w:r>
      <w:r>
        <w:br/>
      </w:r>
      <w:r>
        <w:t xml:space="preserve">
• в сфере газоснабжения обеспечен переход к рыночному ценообразованию путем формирования биржевых и внебиржевых индикаторов цен на природный газ;</w:t>
      </w:r>
      <w:r>
        <w:br/>
      </w:r>
      <w:r>
        <w:t xml:space="preserve">
• увеличилась доля экспорта российских промышленных товаров, создан конкурентный механизм субсидирования российских производителей промышленной продукции;</w:t>
      </w:r>
      <w:r>
        <w:br/>
      </w:r>
      <w:r>
        <w:t xml:space="preserve">
• расширилась география биржевых поставок сельхозпродукции.</w:t>
      </w:r>
      <w:r>
        <w:br/>
      </w:r>
      <w:r>
        <w:br/>
      </w:r>
      <w:r>
        <w:t xml:space="preserve">
В условиях внешних и внутренних вызовов ФАС России стремится использовать все инструменты для укрепления многоукладной российской экономики, при которой демонополизация и развитие малого и среднего бизнеса повысят качество товаров и услуг и снизят их стоимость.</w:t>
      </w:r>
      <w:r>
        <w:br/>
      </w:r>
      <w:r>
        <w:br/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30years-amr.fas.gov.ru/" TargetMode="External" Id="rId8"/>
  <Relationship Type="http://schemas.openxmlformats.org/officeDocument/2006/relationships/hyperlink" Target="https://plan.fas.gov.ru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