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Цыганов: биржевая торговля обеспечит участникам рынка минеральных удобрений паритетные условия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сентября 2020, 10:30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К такому выводу пришли эксперты на заседании Комиссии по проведению анализа товарных рынков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3 сентября 2020 года в ФАС России прошло очередное заседание Комиссии по проведению анализа товарных рынков. Эксперты рассмотрели проекты аналитических отчетов исследований конкурентной среды рынков минеральных удобрений и сырой нефти.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Эксперты обратили внимание, что по сравнению с 2018 годом в 2019 году произошел рост объемов реализации минеральных удобрений в совокупности с ростом цены. Это указывает на высокий спрос со стороны потребителей на минеральные удобрения и недостаточную насыщенность ими рынка, но также может свидетельствовать о росте потребностей сельхозтоваропроизводителей в удобрениях и наличии финансовых возможностей для их приобретения.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качестве решения вопроса было предложено расширить спектр инструментов, позволяющих участникам высоко концентрированных рынков осуществлять свою хозяйственную деятельность при максимально прозрачных условиях.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«Основной вектор деятельности антимонопольного органа направлен на формирование прозрачных условий работы хозсубъектов на рынках. Полагаем, что формирование репрезентативных биржевых и внебиржевых индикаторов обеспечит для продавцов и потребителей оптового рынка минеральных удобрений паритетные условия»</w:t>
      </w:r>
      <w:r>
        <w:t xml:space="preserve">, - прокомментировал Председатель Комиссии, замглавы ФАС Андрей Цыганов.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Исследование рынка сырой нефти показало, что ПАО «Газпром» (включая ПАО «Газпром нефть»), ПАО «НК «Роснефть», ПАО «Лукойл», ПАО «Сургутнефтегаз» продолжают занимать на этом рынке суммарную долю, превышающую 70%. Каждая из этих компаний занимает доминирующее положение и имеет дополнительную возможность оказывать существенное воздействие на условия обращения товара на рынке нефти. Значимых изменений в структуре рынка в 2019 году не произошло.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