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«Коттон Клаб»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2020, 12:20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не смогла подтвердить объективность надписи «бренд №1» на упаковке производимого ею мыла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постановление о наложении административных штрафов на ООО «Коттон Клаб» и генерального директора общества на 250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антимонопольное ведомство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признало действия компании нарушающими 
        </w:t>
        </w:r>
      </w:hyperlink>
      <w:r>
        <w:t xml:space="preserve">Закон о защите конкуренции[1] из-за некорректного сравнения продукции общества с аналогичной продукцией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«Коттон Клаб» производило жидкое мыло «AURA antibacterial», на упаковке которого была размещена информация «АНТИБАКТЕРИАЛЬНЫЙ БРЕНД № 1 В РОССИИ • БРЕНД № 1 В РОССИИ». Однако подтвердить объективность этих сведений в ходе разбирательства компания так и не смогла.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заявления могут быть сделаны, если четко понятен критерий, по которому производится сравнение и если обоснованность таких утверждений можно подтвердить, </w:t>
      </w:r>
      <w:r>
        <w:t xml:space="preserve">- пояснила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В противном случае указание на превосходство товара над другими такими дает производителю необоснованные преимущества, что не отвечает требованиям добропорядочности ведения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14.3. Запрет на недобросовестную конкуренцию путем некорректного сравнения: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14.3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1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