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Юлия Юдина: Каждое решение и предписание ФАС России в сфере тарифного регулирования должно быть исполнено в срок и надлежащим образом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2020,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ходе сессии 5-го юбилейного Всероссийского семинара-совещания по тарифному регулированию участники обсудили досудебное рассмотрение споров и разногласий в сфере электроэнергетики и ЖКХ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регионального тарифного регулирования ФАС России Юлия Юдина выступила с докладом о некоторых практических аспектах осуществления тарифной политики, в том числе о результатах контрольно-надзорной деятельности ведомства за 2019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рассказала о тенденциях и планируемых результатах контрольно-надзорной деятельности ФАС России за 2020 год с учетом пандемии новой коронавирусной инфекции COVID-19.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Юлия Юдина разъяснила порядок привлечения к административной ответственности должностных лиц органов тарифного регулирования за нарушение тарифного законодательства[1] и за неисполнение решений и предписаний Федеральной антимонопольной службы[2].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Контроль за надлежащим исполнением всех вынесенных решений является одним из приоритетных направлений ФАС России. При рассмотрении отчета об исполнении проверяются его своевременность, а также соответствие принятому решению и положениям тарифного законодательства. В 2020 году ФАС России изменила порядок рассмотрения отчетов об исполнении решений и предписаний, сделала его коллегиальным, а значит, более быстрым, прозрачным и объективным.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случае выявления факта неисполнения решения, Комиссия устанавливает новый срок исполнения и возбуждается дело об административном правонарушении[3]. Если за нарушение тарифного законодательства мы довольно часто применяем малозначительность, учитываем различные объективные факторы, с которыми сталкиваются должностные лица при принятии решений об установлении цен (тарифов), то за неисполнение решений мы малозначительность не применяем и считаем необходимым, чтобы каждое решение было исполнено в срок и надлежащим образом</w:t>
      </w:r>
      <w:r>
        <w:t xml:space="preserve">», - подчеркнула Юлия Юдина.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регионального тарифного регулирования ФАС России уделила особое внимание подходам к расчету расходов на амортизацию и напомнила, что такие отчисления, планируемые к вводу в последующих периодах регулирования, не учитываются при формировании необходимой валовой выручки.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Расчет производится исходя из объектов, принятых регулируемой организацией на баланс. Расходы на амортизацию объектов основных средств, приобретенных (созданных) за счет целевых бюджетных средств, не подлежат включению в регулируемые тарифы, поскольку организация не понесла затраты по приобретению (созданию) таких объектов (получила на безвозмездной основе)</w:t>
      </w:r>
      <w:r>
        <w:t xml:space="preserve">», - сказала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Юлия Юдина также рассказала про несколько решений в сфере электроэнергетики, которые были приняты в 2020 году Комиссией ФАС России в ходе досудебных споров.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сессии также приняли участие начальник отдела рассмотрения жалоб, досудебного урегулирования тарифных споров и разногласий в электроэнергетике и теплоснабжении ФАС России Анна Старостина и начальник отдела рассмотрения жалоб в сфере ЖКХ и ЖД перевозок ФАС России Виктория Потапова. Они рассказали о подходах к формированию статей затрат, которые вызывают наиболее частые вопросы у регуляторов, а именно амортизация, формирование резервов по сомнительным долгам, экономия средств на оплату потерь электроэнергии при установлении тарифов, недопустимости расширительного толкования критериев ТСО.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[photo_1677]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был анонсирован выход второго книжного издания, посвященного обзору тарифных решений и предписаний ФАС России в сфере тарифного регулирования. Первый том был выпущен в 2019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Секция по досудебному регулированию споров уже стала традиционной при Всероссийском семинаре-совещании, проходит уже в 5-й, юбилейный раз, и из года в год вызывает большой интерес среди регулируемых организаций и органов тарифного регулирования субъектов федерации. За 1,5 часа мы обсудили много важных вопросов, и надеемся, что эта секция и в дальнейшем будет вызывать интерес у слушателей</w:t>
      </w:r>
      <w:r>
        <w:t xml:space="preserve">», - заключила Юлия Юдина.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[video_2920]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ст. 14.6 Кодекса Российской Федерации об административных правонарушениях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ст. 19.5 Кодекса Российской Федерации об административных правонарушениях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по ч.5 статьи 19.5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