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Позиция ФАС России по поддержанию темпов изменения тарифов медленнее инфляции сохранится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2021, 10:53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2020 году рост размера платы граждан за коммунальные услуги в среднем по стране составил 3,1% и не превысил 4%, предусмотренных Прогнозом социально-экономического развития страны на период до 2024 года. Об этом замруководителя ФАС России Виталий Королев заявил на панельной дискуссии, посвященной стратегическим целям тарифного регулирования в сферах электроэнергетики и ЖКХ.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Благодаря тому, что ФАС согласовывает случаи превышения предельных индексов платы за коммунальные услуги, в 2020 году количество муниципалитетов, в которых индексы были установлены с превышением, снизилось на 92% по сравнению с 2019 годом, а в 2021 году – еще на 23% по сравнению с 2020 годом.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напомнил об отраслях, в которых ежемесячный размер платы граждан снижается. К таким сферам, в частности, относится ТКО. Так, в декабре 2019 года плата граждан за услугу по обращению с ТКО в среднем по стране уменьшились на 3,84% по сравнению с июлем этого же года, а в декабре 2020 года размер снижения составил 4,3% по сравнению с декабрем 2019 года. В феврале 2021 года размер платы граждан в целом по стране за услугу по обращению с ТКО остался неизменными по сравнению с декабрем 2020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