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 выравнивании тарифов на электроэнергию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2021, 16:58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активно работает над внедрением метода эталонов при регулировании электросетевого комплекса. Соответствующий документ находится на рассмотрении в Правительстве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2020 году метод эталонов был применен в тарифах в сфере ЖКХ, для организаций, владеющих небольшими участками водопровода и канализаций. В ряде случаев он позволил снизить затраты до 30% на такой элемент водоснабжения как транспортировка воды и сточных вод.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уже заложила основу для запуска пилотных проектов по созданию крупных территорий из нескольких регионов с едиными электросетевыми тарифами. Их запуск планируется с 1 июля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этом году планируется запуск энергозоны «Курганская область - Тюменская область, ХМАО, ЯНАО», что позволит снизить тариф на 34% в Курганской области при незначительном росте на остальных территориях.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дальнейшем количество «пилотов» может увеличиться, затем единое тарифное пространство может сформироваться рамках федеральных округов, ценовых зон оптового рынка или даже всей страны.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