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будет регулировать тарифы для всех крупных топливно-заправочных компаний, работающих в аэропортах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2021, 21:00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создать условия для конкуренции на рынке авиатопливообеспечения, исключит необоснованное увеличение тарифов на заправку воздушных судов и хранение авиатоплива, а также, в свою очередь, окажет положительное влияние на себестоимость рейсов для авиакомпаний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приказ ФАС России* актуализирует перечень субъектов естественных монополий в сфере услуг в аэропортах, государственное регулирование которых осуществляется антимонопольным ведомством.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этого показала совместная проверка ФАС России с территориальными управлениями и прокуратурой. Выяснилось, что ряд топливно-заправочных компаний (ТЗК), обладающих признаками естественных монополий, устанавливает тарифы на свои услуги самостоятельно, что нарушает действующее законодательство**.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выявления таких организаций в перечень дополнительно включили 6 ТЗК, осуществляющих деятельность в аэропортах нескольких регионов, и одну ТЗК из Московской области. В перечень организаций, регулируемых ФАС России, также включили 9 главных операторов аэропортов, пассажиропоток которых 250 тыс. в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из перечня исключили организации, деятельность которых прекращена и в отношении которых не осуществляется регулирование и контроль. ТЗК, осуществляющие деятельность в одном регионе, теперь будут регулироваться региональными органами исполнительной власти по месту осуществления деятельности, что позволит им оперативно принимать решения с учетом специфики каждого ТЗК.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приказ разделяет функции по тарифному регулированию организаций, оказывающих услуги по обеспечению заправки воздушных судов и хранению авиационного топлива в аэропортах, а также включенных в перечень субъектов естественных монополий, между ФАС России и органами власти субъектов Российской Федерации.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*Приказ Федеральной антимонопольной службы от 01.03.2021 № 164/21 "О внесении изменения в приложение № 3 к приказу ФАС России от 8 сентября 2017 года № 1189/17 "Об утверждении перечней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ФАС России"</w:t>
      </w:r>
      <w:r>
        <w:br/>
      </w:r>
      <w:r>
        <w:rPr>
          <w:i/>
        </w:rPr>
        <w:t xml:space="preserve">
(Зарегистрирован 27.05.2021 № 63659) </w:t>
      </w:r>
      <w:r>
        <w:br/>
      </w:r>
      <w:r>
        <w:rPr>
          <w:i/>
        </w:rPr>
        <w:t xml:space="preserve">
http://publication.pravo.gov.ru/Document/View/0001202105280019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**Постановление Правительства РФ от 23.04.2008 №293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