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 особенностях рекламного законодательства в сфере радиовещания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2021,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Представитель службы ответил на вопросы участников рынка радиовещания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рекламы и недобросовестной конкуренции ФАС России Ирина Василенкова приняла участие в крупнейшей в индустрии радиовещания конференции «Локальное радио: инновации и перспективы», которую ежегодно проводит Российская академия радио.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конференции участвовали около 250 представителей ведущих федеральных и региональных радиостанций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течение двух дней профессионалы индустрии обсуждали управленческие, программные, маркетинговые, коммерческие, технологические и правовые аспекты работы региональных и локальных радиокомпаний.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Ирина Василенкова выступила спикером на панельной дискуссии «Локальные вещатели и государство: взаимодействие в интересах слушателя».</w:t>
      </w:r>
      <w:r>
        <w:br/>
      </w:r>
      <w:r>
        <w:br/>
      </w:r>
      <w:r>
        <w:t xml:space="preserve">
Вместе с заместителем руководителя Роскомнадзора Максимом Виноградовым она ответила на вопросы, имеющие особую практическую ценность для участников конференции.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аудитории привлёк вопрос о том, как считать объём региональной рекламы в радиопрограммах.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случае вещания на одной частоте двух и более радиопрограмм, объём рекламы рассчитывается для каждой радиопрограммы исходя из времени вещания этого СМИ в сутки. Соответственно, объём рекламы в каждой радиопрограмме в сутки не должен превышать 20% времени вещания этой радиопрограммы. При этом в объём рекламы включается любая реклама, в том числе региональная. В случае превышения, установленной законом нормы объёма рекламы в радиопрограмме ответственность за это нарушение несёт рекламораспространитель – владелец лицензии на вещание СМИ</w:t>
      </w:r>
      <w:r>
        <w:t xml:space="preserve">», – прокомментировала Ирина Василенкова.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Ещё один вопрос, который прозвучал на панельной сессии касался возрастной маркировки анонсов информационных программ. В зале возник спор – нужны ли они на радио или нет.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рекламе объектом рекламирования в качестве товара выступает информационная продукция. В рекламе она подлежит обязательной возрастной маркировке в соответствии с требованиями Закона о защите детей от информации, причиняющей вред их здоровью и развитию. Категория этой информационной продукции должна быть обозначена соответствующим знаком или предупреждением о возрастных ограничениях на распространение такой продукции среди детей</w:t>
      </w:r>
      <w:r>
        <w:t xml:space="preserve">», – пояснила заместитель начальника управления рекламы и недобросовестной конкуренции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