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Антимонопольный комплаенс – официальная позиция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2021, 13:53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поясняет в связи с публикациями в СМИ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не выдает и не планирует выдавать специальных сертификатов для защиты компаний от обвинения в злоупотреблении доминированием или сговоре. Служба согласовывает акты или проекты актов об антимонопольном комплаенсе компании. Если такие внутренние акты содержат все обязательные элементы, предусмотренные частью 2 статьи 9.1 Закона о защите конкуренции, и представленные документы не содержат противоречащих антимонопольному законодательству положений, ФАС России дает заключение об их соответствии требованиям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Внедрение антимонопольного комплаенса и следование его требованиям позволяет компании не допустить нарушения антимонопольного законодательства. То есть, если организация действует в соответствии с согласованными ФАС России актами антимонопольного комплаенса, она не может нарушить антимонопольное законодательство при совершении действий, перечисленных в согласованном комплаенсе.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Одновременно с этим, иные действия организации, которые осуществляются за рамками согласованных правил антимонопольного комплаенса или в нарушение этих правил, будут рассматриваться антимонопольным органом на соответствие антимонопольному законодательству в установленном Законом о защите конкуренции порядке. В случае установления факта нарушения, хозяйствующий субъект будет нести ответственность.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