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Правительство РФ утвердило механизм долгосрочного тарифного регулирования</w:t>
      </w:r>
    </w:p>
    <w:p xmlns:w="http://schemas.openxmlformats.org/wordprocessingml/2006/main" xmlns:pkg="http://schemas.microsoft.com/office/2006/xmlPackage" xmlns:str="http://exslt.org/strings" xmlns:fn="http://www.w3.org/2005/xpath-functions">
      <w:r>
        <w:t xml:space="preserve">11 октября 2021, 10:00</w:t>
      </w:r>
    </w:p>
    <w:p xmlns:w="http://schemas.openxmlformats.org/wordprocessingml/2006/main" xmlns:pkg="http://schemas.microsoft.com/office/2006/xmlPackage" xmlns:str="http://exslt.org/strings" xmlns:fn="http://www.w3.org/2005/xpath-functions">
      <w:pPr>
        <w:jc w:val="both"/>
      </w:pPr>
      <w:r>
        <w:rPr>
          <w:i/>
        </w:rPr>
        <w:t xml:space="preserve">Гибкий механизм инвестирования в ЖКХ станет гарантом предсказуемого тарифа на длительный период</w:t>
      </w:r>
    </w:p>
    <w:p xmlns:w="http://schemas.openxmlformats.org/wordprocessingml/2006/main" xmlns:pkg="http://schemas.microsoft.com/office/2006/xmlPackage" xmlns:str="http://exslt.org/strings" xmlns:fn="http://www.w3.org/2005/xpath-functions">
      <w:pPr>
        <w:jc w:val="both"/>
      </w:pPr>
      <w:r>
        <w:t xml:space="preserve">ФАС России является разработчиком принятого постановления Правительства РФ. Оно стало одним из первых документов в целях реализации Концепции долгосрочного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Теперь регионы, после согласования с ФАС России, имеют возможность определять предельные индексы на несколько лет вперед, вместо их установления на каждый следующий год, что позволит гарантировать эффективность планирования инвестиционной деятельности. Это нужно для того, чтобы инвесторы вкладывались в модернизацию и реконструкцию коммунального комплекса, получая долгосрочный тариф, который будет определён исходя из объективных условий осуществления деятельности.</w:t>
      </w:r>
    </w:p>
    <w:p xmlns:w="http://schemas.openxmlformats.org/wordprocessingml/2006/main" xmlns:pkg="http://schemas.microsoft.com/office/2006/xmlPackage" xmlns:str="http://exslt.org/strings" xmlns:fn="http://www.w3.org/2005/xpath-functions">
      <w:pPr>
        <w:jc w:val="both"/>
      </w:pPr>
      <w:r>
        <w:t xml:space="preserve">Применение такого механизма совместно с комплексом мероприятий в рамках Концепции* даст возможность в перспективе до 2030 года увеличить инвестиции в сферу ЖКХ до 1 трлн рублей. Такой эффект отразится в улучшении качества услуг, бесперебойной работе и надежности коммунальной инфраструктуры. </w:t>
      </w:r>
    </w:p>
    <w:p xmlns:w="http://schemas.openxmlformats.org/wordprocessingml/2006/main" xmlns:pkg="http://schemas.microsoft.com/office/2006/xmlPackage" xmlns:str="http://exslt.org/strings" xmlns:fn="http://www.w3.org/2005/xpath-functions">
      <w:pPr>
        <w:jc w:val="both"/>
      </w:pPr>
      <w:r>
        <w:rPr>
          <w:i/>
        </w:rPr>
        <w:t xml:space="preserve">«Стоит отметить, что принятый документ станет для потенциальных инвесторов важным элементом стабильной тарифной политики. Эта мера будет способствовать привлечению инвестиций в ЖКХ за счет гарантии их возврата и поможет реализовать крупные проекты, направленные в том числе и на развитие агломераций, - подчеркнул заместитель руководителя ФАС России Виталий Королев. - При этом в документе сохраняются инструменты выстроенной многоуровневой системы защиты граждан от существенных изменений платы за коммунальные услуги». </w:t>
      </w:r>
    </w:p>
    <w:p xmlns:w="http://schemas.openxmlformats.org/wordprocessingml/2006/main" xmlns:pkg="http://schemas.microsoft.com/office/2006/xmlPackage" xmlns:str="http://exslt.org/strings" xmlns:fn="http://www.w3.org/2005/xpath-functions">
      <w:pPr>
        <w:jc w:val="both"/>
      </w:pPr>
      <w:r>
        <w:t xml:space="preserve">Согласно этому постановлению главы регионов могут уже в этом году запустить работу такого механизма привлечения инвестиций. Для этого им необходимо до 10 ноября 2021 года направить перечень документов в ФАС России. Определение значений предельных индексов на несколько лет вперед допускается только при наличии четкого обоснования необходимости реализации инвестиционных мероприятий в соответствии с утвержденными схемами тепло-, водоснабжения, водоотведения, обращения с ТКО, которые размещаются в публичном доступе. Одновременно закреплено обязательство региона по регулярному предоставлению отчета о реализации инвестиционных мероприятий, и в случае их неисполнения долгосрочные индексы подлежат отмене.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Справка: </w:t>
      </w:r>
      <w:r>
        <w:rPr>
          <w:i/>
        </w:rPr>
        <w:t xml:space="preserve">*</w:t>
      </w:r>
    </w:p>
    <w:p xmlns:w="http://schemas.openxmlformats.org/wordprocessingml/2006/main" xmlns:pkg="http://schemas.microsoft.com/office/2006/xmlPackage" xmlns:str="http://exslt.org/strings" xmlns:fn="http://www.w3.org/2005/xpath-functions">
      <w:pPr>
        <w:jc w:val="both"/>
      </w:pPr>
      <w:r>
        <w:rPr>
          <w:i/>
        </w:rPr>
        <w:t xml:space="preserve">Концепция внедрения механизмов тарифообразования для организаций, осуществляющих регулируемые виды деятельности, на долгосрочный период.</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