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в деле о дорожном картеле в Нижегородской и Челябинской областях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2022, 13:01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Часть торгов по ремонту дорог проходила в рамках нацпроекта «Безопасные и качественные автомобильные дороги»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признал законным решение ФАС России в отношении ООО фирма «Магистраль», ООО «Нижегородавтодор», ООО «Импульс», ООО «Нижавтодорстрой» и ООО «УралДорСтрой». Ранее позицию ведомства поддержали суды первой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апелляционной
        </w:t>
        </w:r>
      </w:hyperlink>
      <w:r>
        <w:t xml:space="preserve">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2018 по 2019 гг. при участии в закупочных процедурах по ремонту автодорог в Нижегородской и Челябинской областях организации заключили антиконкурентное соглашение, в рамках которого совместно отказывались от снижения цены на торгах либо от участия в конкурентных процедурах в пользу заранее определенного участника. Общая сумма контрактов составила свыше 3,8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торги по ремонту автомобильных дорог проходили в рамках нацпроекта «Безопасные и качественные автомобильные дороги».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Правонарушители привлечены к административной ответственности в виде штрафов на общую сумму более 398 млн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57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