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в деле о дорожном картеле в Липецкой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2022, 13:59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средств на выполнение ремонтных работ была выделена в рамках нацпроекта «Безопасные и качественные автомобильные дороги»</w:t>
      </w:r>
      <w:r>
        <w:br/>
      </w:r>
      <w:r>
        <w:br/>
      </w:r>
      <w:r>
        <w:t xml:space="preserve">
Арбитражный суд г. Москвы признал законным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антимонопольной службы
        </w:t>
        </w:r>
      </w:hyperlink>
      <w:r>
        <w:t xml:space="preserve"> в отношении Управления дорог и транспорта Липецкой области, ОКУ «Липецкавтодор» и ООО «ТК «Руслан-1».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52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