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определила задачи совершенствования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2022, 20:20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Принцип тарифного регулирования – баланс экономических интересов потребителей и регулируемых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марта 2022 года в режиме ВКС глава ФАС России Максим Шаскольский выступил с приветственным словом к участникам семинара «Долгосрочное тарифное регулирование в современных условиях. Проекты и результаты».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ведомства рассказал, что основным принципом тарифного регулирования является достижение баланса экономических интересов потребителей и регулируемых субъектов. Инфраструктура в настоящее время нуждается в инвестиционных проектах и обновлении. При этом темпы изменения тарифов должны учитывать интересы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подчеркнул, что контроль за экономической обоснованностью тарифов будет усиливаться.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статс-секретарь-заместитель руководителя ФАС России Сергей Пузыревский, по итогам 2021 года служба предписала исключить 6,93 млрд рублей необоснованных средств из тарифов. Этот показатель почти в три раза больше, чем в 2020 году. Также ведомство выдало 67 предписаний регуляторам об устранении нарушений. Исполнение предписаний ведомства позволило снизить тарифы на услугу по обращению с ТКО в ряде регионов. Так, в Амурской области в 2021 году они снизились на 16%, в Белгородской - на 5,89%, в Ульяновской - на 4,5%.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антимонопольная служба провела 14 проверок в отношении региональных тарифных органов и рассмотрела 136 заявлений о досудебных спорах и тарифных разногласиях, а также 105 административных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заместитель руководителя ФАС России Виталий Королев сообщил, что установление долгосрочных тарифов позволило привлечь в 2022 году на реиндустрилизацию ЖКХ 5,4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2022-2024 гг. установление долгосрочных индексов для «пилотных» регионов за коммунальные услуги увеличит инвестиции в инфраструктуру ЖКХ на 21,5 млрд рублей. Это поможет модернизировать существующие теплотрассы, водопроводы и другие важные для граждан объекты ЖКХ. В будущем это сократит крупные коммунальные аварии. При этом граждане будут защищены государством от необоснованного роста тарифов на ЖКХ.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