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антимонопольное регулирование в условиях новых реалий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идёт, в частности, о практике применения антимонопольного законодательства в отношении спекулятивных действий при ценообразовании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представляли заместитель руководителя ФАС России Андрей Цыганов и начальники профильных управлений.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ходе заседания Андрей Цыганов отметил, что ведомство незамедлительно реагирует на нарушения антимонопольного законодательства – такие, как злоупотребление доминирующим положением, заключение антиконкурентных соглашений либо осуществление антиконкурентных действий, в том числе направленных на необоснованное повышение цен.</w:t>
      </w:r>
      <w:r>
        <w:br/>
      </w:r>
      <w:r>
        <w:t xml:space="preserve">
Вместе с тем, Федеральная антимонопольная служба защищает интересы не только граждан, но и малого и среднего бизнеса. Многие компании на внутреннем рынке применяют методы ценообразования, рекомендованные ФАС России, а также корректируют торгово-сбытовые политики в соответствии с рекомендациями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Также в ходе заседания выступила и.о. начальника Правового управления ФАС России Марьяна Матяшевская с докладом о ведомственной программе профилактики за 2021 год. Разработка ведомственной программы профилактики нарушений со стороны подконтрольных субъектов предусматривает её ежегодное обсуждение на Общественном совете. Она обратила внимание на сферы контроля ФАС, в рамках которых осуществляется реализация мероприятий, а также на ключевые результаты выполнения программы профилактики. </w:t>
      </w:r>
      <w:r>
        <w:br/>
      </w:r>
      <w:r>
        <w:t xml:space="preserve">
В ходе заседания Общественного совета также обсуждался вопрос об отдельных разъяснениях, касающихся допустимых и недопустимых практик применения ценовых алгоритмов при осуществлении предпринимательской деятельности. Ведомство ознакомилось с представленными инициативами и оценит целесообразность их реализации.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Общественный совет является постоянно действующим совещательно-консультативным органом общественного контроля.</w:t>
      </w:r>
      <w:r>
        <w:br/>
      </w:r>
      <w:r>
        <w:rPr>
          <w:i/>
        </w:rPr>
        <w:t xml:space="preserve">
Заседания Общественного совета при ФАС России проводятся не реже одного раза в квартал.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[photo_1796]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