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для предприятий ЖКХ созданы дополнительные тарифные стимулы для бесперебойной работы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2022,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смогут определить объекты для первоочередных действий по реконструкции инженерных сетей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Правительства РФ антимонопольная служба разработала меры поддержки жилищно-коммунального хозяйства с учетом сложившейся экономической ситуации.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предложила не исключать из необходимой валовой выручки средства для компаний сферы ЖКХ в случае невыполнения ими инвестиционных программ.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4 апреля 2022 года принято постановление Правительства РФ*. Аналогичный подход уже был одобрен для электросетевого комплекса.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Предприятия ЖКХ совместно с региональными и муниципальными органами власти определят перечень основных объектов жизнеобеспечения, которым следует уделить пристальное внимание и провести модернизацию инфраструктуры.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комплекс мер позволит повысить эффективность использования направленных средств ресурсоснабжающими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*Постановление Правительства от 4 апреля 2022 года № 582</w:t>
      </w:r>
      <w:r>
        <w:br/>
      </w:r>
      <w:r>
        <w:t xml:space="preserve">
http://publication.pravo.gov.ru/Document/View/0001202204080020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