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в деле о госзакупках на 2,5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Устанавливать критерии оценки необходимо так, чтобы конкурс не превращался в аукцион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ООО «Дорожная Строительная Компания» на действия АО «КАВКАЗ.РФ». Компания проводила открытый конкурс в электронной форме на право заключения госконтракта на поставку комплектов технологического оборудования канатных дорог для строящегося курорта «Мамисон» в Северной Осетии. Начальная цена контракта составила более 2,5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Заявитель указал, что заказчик неправомерно установил порядок оценки заявок по детализирующему показателю «Общая цена исполненных участником закупки договоров». Так, максимальное значение стоимости контракта, принимаемого к оценке, составляло 1 261 851 360 рублей – то есть 50% от начальной цены контракта. Таким образом, все контракты на указанную сумму и более оценивались равнозначно – в 100 баллов.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жалобу обоснованной – заказчик установил ненадлежащий порядок оценки заявок на участие в конкурсе, который был схож с проведением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«КАВКАЗ.РФ» не согласилось с решением антимонопольной службы и обратилось в суд. Однако Арбитражный суд города Москвы подтвердил законность решения ФАС России. Установление предельного максимального значения характеристики объекта закупки в размере 50% от НМЦК в порядке оценки при проведении конкурса является нарушением Закона о контрактной системе*.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11 части 1 статьи 42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