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участников картеля на рынке металлопроката на 1,7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 крупнейших металлотрейдеров заключили антиконкурентное соглашение с целью поддержания цен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2022 года служба признала АО «Сталепромышленная компания», ООО «Сервисный центр металлопроката», ООО «Предприятие Стройтехцентр», ООО «А Групп», ООО «Уралметаллстрой», ООО «Управление комплектации и снабжения», ООО «Металлоторговая компания Красо»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вступили в антиконкурентный сговор и, действуя согласованно в течение длительного времени, поддерживали цены на торгах с совокупной начальной ценой 2 696 766 873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оборотные штрафы в суммарном размере 1 767 739 030 рублей**.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и материалы по делу направлены в правоохранительные органы для решения вопроса о возбуждении уголовного дела по признакам преступления, предусмотренного статьей 178 УК РФ. За его совершение предусмотрена ответственность в виде лишения свободы на срок до семи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со статьей 14.32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Штрафы для каждой из организаций составили: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«СПК» в размере 304 947 817,34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«СЦМ» в размере 151 906 400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«А Групп» в размере 1 012 292 252,48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«УКС» в размере 45 767 520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«ПСТЦ» в размере 55 266 280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«УМС» в размере 17 574 160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МТК «КРАСО» в размере 179 984 600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