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дорожном картеле в Сахалинской области на сумму более 1,7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нарушения выявлены, в том числе, на торгах при реализации нацпроекта «Безопасные качественные дороги»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законодательства* в отношении ООО «Восток-МГК», ООО «Востокдорстрой», ООО «Транслайн» и ООО «Перевал». Ведомство подозревает компании в заключении и реализации картеля с целью поддержания цен на торгах в сфере дорожного строительства в Сахалинской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 ведомства, сумма начальных максимальных контрактов составляет 1 773 880 711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КоАП РФ**.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п.2 ч.1 ст.11 Федерального закона от 26.07.2006 № 135-ФЗ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