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поддержал позицию ФАС в деле о сговоре между «Росгосстрах» и «Капитал Лайф Страхование Жизни»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2022,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2021 году служба признала организации виновными в заключении антиконкурентного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являются конкурентами на рынках добровольного личного страхования*. ФАС России установила, что компании заключили между собой письменные соглашения, содержащие, в том числе, условия о минимальном сборе ПАО СК «Росгосстрах» страховых премий в пользу конкурента ООО «Капитал Лайф Страхование Жизни», а также о штрафных санкциях за ненадлежащее исполнение обязанности по сбору страховых премий или за досрочное прекращение исполнения таких обязательств.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соглашение привело или может привести к ограничению конкуренции** на соответствующих рынках. Служба также выдала компаниям предписания о прекращении нарушения антимонопольного законодательства.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«Капитал Лайф Страхование Жизни» пыталось оспорить решение ведомства и предписание, однако Судебная коллегия по экономическим спорам Верховного Суда Российской Федерации признала их законными. Кроме того, ранее суд кассационной инстанции также поддержал позицию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Подтверждение высшей судебной инстанцией позиции ФАС России ставит точку в спорах о правомерности оценки ведомством гражданско-правовых договоров на предмет нарушения антимонопольного законодательства***.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рынки добровольного страхования от несчастных случаев и болезней, добровольного страхования жизни, добровольного медицинского страхования </w:t>
      </w:r>
      <w:r>
        <w:br/>
      </w:r>
      <w:r>
        <w:rPr>
          <w:i/>
        </w:rPr>
        <w:t xml:space="preserve">
** нарушение части 4 статьи 11 Закона о защите конкуренции</w:t>
      </w:r>
      <w:r>
        <w:br/>
      </w:r>
      <w:r>
        <w:rPr>
          <w:i/>
        </w:rPr>
        <w:t xml:space="preserve">
*** при оценке решения ведомства суд согласился с позицией, что соответствие агентских договоров требованиям гражданского законодательства не исключает наличия в действиях компаний нарушения антимонопольного законодательства. При этом наличие решения судов по спорам, вытекающим из гражданских правоотношений, не исключает их из сферы компетенции антимонопольного органа и не означает, что они не могут быть проверены ведомством на предмет соблюдения положений антимонопольного законодательства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