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переводит ряд отраслей на биржевое ценообразование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2022, 09:35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Утверждена разработанная ФАС России «дорожная карта» развития биржевой 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в целях реализации Национального плана развития конкуренции 2021-2025 гг. Биржевые торги зарекомендовали себя в качестве источника справедливых рыночных цен и способа недискриминационного доступа к товарам, а также дополнительного канала реализации на цифровых платформах.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с начала 2022 года объем биржевых торгов автомобильным бензином составил 9,3 млн тонн, что на 31,8 тыс. тонн выше показателя прошлого года (+ 0,3 %) и дизельного топлива составил 12,9 млн тонн, что на 1,9 млн тонн выше показателя прошлого года (+17,9 %).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работы ФАС России объем биржевых торгов автомобильных бензинов и дизельного топлива составляет около 25% и 26% от их объема поставок на внутренний рынок, что позволяет обеспечивать доступными объемами конечных потребителей на конкурентных условиях. Таким образом, каждый четвертый литр, реализованный на АЗС, закуплен на бирже.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увеличились объемы торгов древесиной – реализовано 3,8 млн кубических метров, что на 29,7% больше, чем за аналогичный период в 2021 году. Были сформированы ценовые индикаторы в 5 федеральных округах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«Дорожная карта» развития биржевой торговли предусматривает расширение номенклатуры товарно-сырьевой продукции, реализуемой на бирже - в том числе химической и нефтегазохимической.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позволит создать рыночную систему ценообразования на внутреннем рынке, сформирует отечественные индикаторы и снизит зависимость от зарубежных поставщиков ценовой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для российских инвесторов также станет положительным моментом развитие системы национальных индикаторов, так как прозрачность ценообразования даст возможность более четко прорабатывать стратегии и хеджировать риски.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