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изменения в конкурентном законодательстве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2023, 19:20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была затронута тема принятия «пятого антимонопольного пакета»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 статс-секретарь – заместитель руководителя ФАС России Сергей Пузыревский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 рассмотрении в Госдуме находится пятый антимонопольный пакет*, который вносит изменения в действующее антимонопольное законодательство. Законопроект направлен на пресечение злоупотреблений доминирующим положением со стороны владельцев цифровых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был принят в первом чтении и на данный момент готовится к рассмотрению во втором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членов Общественного совета, вопросы антимонопольного регулирования на цифровых рынках являются крайне актуальными для российского правоприменения и законодательства. Было также отмечено, что разработанные изменения основаны не только на практике ведомства, но и на зарубежном опыте регулирования отношений конкуренции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Общественного совета представили предложения по корректировке отдельных норм документа, которые будут изучены и проработаны.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состоялось обсуждение рынка платежных систем и тарифов на банковский эквайринг.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*Законопроект № 160280-6 «О внесении изменений в Федеральный закон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