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Конституционный Суд РФ поддержал подход ФАС к определению дохода от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считает, что доход, полученный в рамках картеля, должен определяться исходя из цены контракта, заключенного его участником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действиях директора и единственного участника ООО «Современные медицинские технологии», одержавшего победу в аукционе на выполнение работ по ремонту медоборудования учреждений здравоохранения Самарской области, был установлен факт заключения антиконкурентного соглашения. Директор компании был привлечен к уголовной ответственности за ограничивающие конкуренцию действия [1].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он не согласился с приговором[2] Самарского районного суда города Самары и обратился в Конституционный Суд РФ. Он пытался оспорить конституционность части 1 и пункта «в» части 2 статьи 178 УК РФ, а также пункта 1 примечаний к 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оспариваемые им нормы противоречат Конституции РФ, поскольку позволяют рассчитывать доход в рамках картеля без вычета расходов, связанных с исполнением контракта, в частности, налогов, себестоимости работ и нормы прибыли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КС РФ пришел к выводу, что заключение антиконкурентного соглашения в сфере закупок для госнужд не только посягает на нормальное состояние конкуренции, но и не позволяет обеспечить эффективность расходования бюджетных средств, угрожает полноте выполнения государством социальных и экономических обязательств.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постановлении
        </w:t>
        </w:r>
      </w:hyperlink>
      <w:r>
        <w:t xml:space="preserve"> суд подчеркнул, что при покушении на ограничение конкуренции расходы хозсубъектом еще не понесены. В связи с этим применительно к неоконченному преступлению предположение о том, что для определения размера дохода надо учитывать расходы, лишено смысла.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КС РФ также отметил, что судебная практика свидетельствует о том, что под доходом, в том числе при покушении на преступление, предусмотренное оспариваемой статьей, понимается цена контрактов, заключаемых по результатам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суд признал, что используемое в норме статьи 178 УК РФ понятие «доход» означает цену контракта без ее уменьшения на размер каких-либо расходов, в том числе, произведенных или планируемых в связи с исполнением контракта.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[1]Статья 178 УК РФ, пункт 2 части 1 статьи 11 Закона о защите конкуренции</w:t>
      </w:r>
      <w:r>
        <w:br/>
      </w:r>
      <w:r>
        <w:rPr>
          <w:i/>
        </w:rPr>
        <w:t xml:space="preserve">
[2] Доход, который Хозяйствующий субъект намеревался получить, реализовав преступный умысел, равен цене заключенного контракта и в силу пункта 1 примечаний к статье 178 УК Российской Федерации является особо крупным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doc.ksrf.ru/decision/KSRFDecision675687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