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ЗАО «Эвалар» по признакам нарушения рекламного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2023,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выявила признаки нарушения в рекламе лекарственного препарата «Сабельника настойка» на радиостанции «Вести ФМ»</w:t>
      </w:r>
      <w:r>
        <w:br/>
      </w:r>
      <w:r>
        <w:t xml:space="preserve">
 </w:t>
      </w:r>
      <w:r>
        <w:br/>
      </w:r>
      <w:r>
        <w:t xml:space="preserve">
Как установила ФАС России, рекламодатель сообщает о положительном действии препарата и эффективном избавлении от боли при лечении суставов. Также в рекламе утверждается, что препарат безвреден для желудка и эффективен ввиду натурального состава.</w:t>
      </w:r>
      <w:r>
        <w:br/>
      </w:r>
      <w:r>
        <w:t xml:space="preserve">
 </w:t>
      </w:r>
      <w:r>
        <w:br/>
      </w:r>
      <w:r>
        <w:t xml:space="preserve">
В соответствии с законодательством реклама лекарственных средств не должна гарантировать их положительное действие, безопасность, эффективность и отсутствие побочных эффектов(1). Кроме того, закон запрещает утверждать в рекламе о том, что безопасность и эффективность объекта рекламирования гарантированы его естественным происхождением(2).</w:t>
      </w:r>
      <w:r>
        <w:br/>
      </w:r>
      <w:r>
        <w:t xml:space="preserve">
 </w:t>
      </w:r>
      <w:r>
        <w:br/>
      </w:r>
      <w:r>
        <w:t xml:space="preserve">
Антимонопольное ведомство оценит рекламу препарата на предмет нарушения законодательства. В случае установления вины ЗАО «Эвалар» грозит ответственность в соответствии с Законом о рекламе(3).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(1)Пункт 8 части 1 статьи 24 Федерального закона от 13 марта 2006 г. №38-ФЗ «О рекламе».</w:t>
      </w:r>
      <w:r>
        <w:br/>
      </w:r>
      <w:r>
        <w:rPr>
          <w:i/>
        </w:rPr>
        <w:t xml:space="preserve">
(2)Пункт 10 части 1 статьи 24 Федерального закона от 13 марта 2006 г. №38-ФЗ «О рекламе». </w:t>
      </w:r>
      <w:r>
        <w:br/>
      </w:r>
      <w:r>
        <w:rPr>
          <w:i/>
        </w:rPr>
        <w:t xml:space="preserve">
(3)Часть 6 статьи 38 Федерального закона от 13 марта 2006 г. №38-ФЗ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