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мера по фиксации внутренних цен на минудобрения на уровне 2022 года сохраняется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2023,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индексация не предусмотрена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стало возможным после принятия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постановления Правительства РФ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предельные цены минеральных удобрений были добровольно зафиксированы производителями в 2021 году и формировались в соответствии с рекомендациями ФАС России. Они предусматривали установление цен на уровне не выше периода май-июль 2021 года и их индексацию в июне, сентябре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сохранения для отечественных аграриев доступности минудобрений ведомство рекомендовало производителям не повышать их стоимость в декабре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аналогичные рекомендации сохраняются.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Азотные и азотосодержащие удобрения применяются аграриями при посевных. К ним в том числе относятся аммиачная селитра и карбамид.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48590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