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1 сентября производители и экспортеры шрота подсолнечного будут обязаны предоставлять информацию о внебиржевых договорах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2023,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Обязанность наступает в связи с принятием подготовленного ФАС России постановления Правительства РФ*</w:t>
      </w:r>
      <w:r>
        <w:br/>
      </w:r>
      <w:r>
        <w:t xml:space="preserve">
 </w:t>
      </w:r>
      <w:r>
        <w:br/>
      </w:r>
      <w:r>
        <w:t xml:space="preserve">
Согласно документу, производители и экспортеры шрота подсолнечного, являющегося одним из ключевых компонентов кормов для скота и птицы, при соблюдении определенных условий будут обязаны предоставлять информацию о заключенных ими внебиржевых договорах на биржу.</w:t>
      </w:r>
      <w:r>
        <w:br/>
      </w:r>
      <w:r>
        <w:t xml:space="preserve">
Кроме того, документ расширил сведения, предоставляемые на биржу, в частности, в отношении пшеницы и меслины, ячменя и кукурузы, минеральных удобрений, масла подсолнечного и шрота подсолнечного, реализуемых на экспорт, за счет включения информации о взаимозависимости и аффилированности  поставщика этих товаров и их иностранных контрагентов.</w:t>
      </w:r>
      <w:r>
        <w:br/>
      </w:r>
      <w:r>
        <w:t xml:space="preserve">
По мнению ведомства, указанные изменения позволят расширить перечень товаров, в отношении которых возможно формирование внебиржевых ценовых индексов, а также получить более корректную информацию для их расчета.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по отдельным товарам (зерновые, масло подсолнечное, шрот подсолнечный) в соответствии с решениями Правительства Российской Федерации ценовые индикаторы, сформированные на основании информации о внебиржевых договорах, предоставляемой на биржу, используются или будут использоваться для расчета вывозных таможенных пошлин.</w:t>
      </w:r>
      <w:r>
        <w:br/>
      </w:r>
      <w:r>
        <w:t xml:space="preserve">
Кроме того, указанные индикаторы могут стать основой для запуска торгов расчетными фьючерсными контрактами, что даст возможность участникам соответствующих рынков при заключении контрактов нивелировать свои ценовые риски.</w:t>
      </w:r>
      <w:r>
        <w:br/>
      </w:r>
      <w:r>
        <w:t xml:space="preserve">
 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* В рамках реформы контрольно-надзорной и разрешительной деятельности («регуляторная гильотина») было принято постановление Правительства Российской Федерации от 31.05.2023 № 892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Федерации», которое с 1 сентября 2023 года заменит постановление Правительства РФ от 23.07.2013 № 623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