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выступает за совершенствование и упрощение механизма концессионных соглашений в сфере обращения с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2023, 14:35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на ПМЭФ-23 заявил заместитель руководителя ФАС России Виталий Королёв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отрасль активно и динамично развивается, в том числе за счет ввода новых объектов. Это происходит в том числе в рамках реализации инвестиционных программ.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по утверждённым инвестпрограммам плановый объем инвестиций на весь период их реализации в настоящее время составляет более 200 млрд рублей. Кроме того, в составе необходимой валовой выручки операторов по обращению с ТКО на 2023 год на капитальные вложения в рамках инвестиционных программ предусмотрены средства в размере совокупно более 12 млрд рублей. В 2021 году тот же показатель составлял порядка 7,3 млрд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в процессе развития сферы обращения с ТКО необходимо прийти к балансу интересов государства, отрасли и потребителей. Сегодня служба поддерживает и активно участвует в работе по упрощению процедуры заключения и изменения концессий. В частности, ведомство выступает за сокращение сроков их заключения. Это позволит значительно уменьшить сроки исполнения инвестиционных мероприятий и удешевить реализацию проектов.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Актуальным вопросом в контексте перехода к экономике замкнутого цикла остается развитие новых видов деятельности – компостирования отходов и производства твердого топлива из отходов.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2022 году ФАС России разработала дополнения в Основы ценообразования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области обращения с ТКО
        </w:t>
        </w:r>
      </w:hyperlink>
      <w:r>
        <w:t xml:space="preserve">. Они регламентируют учет полигонами экономически обоснованных расходов на собственное производство технического грунта вместо приобретения изолирующих материалов для захоронения отходов у сторонних поставщиков. Упрощение учета таких расходов позволяет полигонам использовать производимый ими техгрунт наиболее экономически эффективным способом. Также это позволяет шире вовлекать полезные вторичные ресурсы из утилизируемых отходов в хозяйственный оборот.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для дальнейшего развития рынка по производству компоста и твердого топлива из отходов, а также отнесения указанных видов деятельности к регулируемым, необходимо нормативное определение и нормирование указанных видов деятельности.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23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