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необходим дополнительный контроль за сделками крупных финансовых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2023, 16:20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сообщила начальник Управления контроля финансовых рынков Ольга Сергеева на круглом столе «Выравнивание конкуренции в банковском секторе – основа для успешной трансформации экономики»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осуществляет регулярный анализ действующей нормативной базы на предмет наличия в ней положений, которые создают неоправданные конкурентные преимущества одних участников рынка перед другими, а также поиск оптимальных решений для недопущения таких ситуаций.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реализации Национального плана развития конкуренции на 2021-2025 годы ФАС России совместно с Минфином России и Банком России начнет подготовку проекта федерального закона, направленного на введение дополнительного контроля за совершением крупными финансовыми организациями сделок по покупке конкурентов.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в настоящее время банкам нужно согласовывать с антимонопольным органом приобретение другой кредитной организации только в том случае, если размер ее активов составляет более 29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учитывая уровень концентрации в банковском секторе, сделки крупных финансовых организаций по покупке своих конкурентов должны согласовываться с антимонопольным органом независимо от величины активов финансовой организации-конкурента.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