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ЦБ: финорганизации не вправе менять условия предоставления кредитов в зависимости от наименования страховщика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2023,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Рекомендации разработаны для того, чтобы обеспечить заемщикам возможность конкурентного выбора страховщиков при кредитовании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и Банк России подготовили совместное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письмо
        </w:t>
        </w:r>
      </w:hyperlink>
      <w:r>
        <w:t xml:space="preserve"> для кредитных и страховых организаций. В нем ведомства обращают внимание финансовых организаций на необходимость соблюдения вступившего в силу постановления Правительства* при страховании рисков заемщиков.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продвижении финансовых продуктов участники финансового рынка нередко пользуются неинформированностью граждан и навязывают страховые продукты своих страховщиков по завышенной цене.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 отметить, что постановление содержит требования к раскрытию информации, необходимой для страхования. В том числе речь идет о требованиях кредитной организации к страховым организациям и условиям предоставления страховой услуги, перечне страховых организаций, соответствующих указанным требованиям кредитной организации. Если банк не раскрывает такую информацию, то это может быть расценено как недопустимая практика.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защиты прав граждан ФАС России и Банк России напоминают кредитным и страховым организациям, что отказы в принятии полисов страхования организаций с кредитным рейтингом по национальной рейтинговой шкале не ниже уровня «А-»**, а также изменение процентной ставки по кредитному договору (договору займа) в зависимости от наименования страховой организации недопустимы.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  регуляторы рекомендуют доводить до сведения граждан-заемщиков решение о принятии полиса страхования не позднее чем через 7 рабочих дней после предоставления полиса в банк. Это нужно, чтобы исключить необоснованное затягивание сроков принятия решения о соответствии полиса страховщика, выбранного заемщиком, и не допустить увеличение расходов граждан на кредитование.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Российской Федерации от 18.01.2023 № 39 «О случаях допустимости соглашений между кредитными и страховыми организациями, а также иностранными страховыми организациями и о признании утратившими силу некоторых актов и отдельного положения акта Правительства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**При кредитовании физических лиц для целей, не связанных с осуществлением предпринимательской деятельности, при условии, соответствия договора требованиям банка к условиям предоставления страховых услуг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919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