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предлагает снизить ценовой порог рассматриваемых центральным аппаратом закупок до 700 млн рублей 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ноября 2023, 11:00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Сейчас он составляет 1 млрд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Нововведение может затронуть жалобы и обращения для проведения внеплановых проверок и включения информации в реестр недобросовестных поставщиков (РНП).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
          Проектом документа
        </w:t>
        </w:r>
      </w:hyperlink>
      <w:r>
        <w:t xml:space="preserve"> предлагается передавать для рассмотрения в центральный аппарат ФАС России жалобы, обращения (информацию) для проведения внеплановых проверок соответствия действий банков, госкорпорации «ВЭБ.РФ», региональных гарантийных организаций требованиям законодательства о контрактной системе*.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По мнению ведомства, принятие документа позволит усилить контроль службы за рассмотрением соответствующих жалоб и документов. Кроме того, указанные нормы направлены на решение существующих проблем при рассмотрении жалоб и позволят унифицировать нормативные акты в соответствии с действующими положениями законодательства.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* Федеральный закон от 05.04.2013 г. №44-ФЗ «О контрактной системе в сфере закупок товаров, работ, услуг для обеспечения государственных и муниципальных нужд»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://regulation.gov.ru/p/143911" TargetMode="External" Id="rId8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