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провела заседание Рабочей группы в формате БРИКС+ по исследованию проблем конкуренции на фармацевтических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2023, 11:30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Ее сопредседателями являются антимонопольная служба России и Государственное управление по надзору за рынком Китайской Народной Республики (ГУНР КНР)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 развития и защиты конкуренции на фармацевтических рынках является одним из ключевых в работе антимонопольных ведомств России и других стран, отметил Тимофей Нижегородцев, заместитель руководителя ФАС России и модератор заседания.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докладом на заседании Рабочей группы выступила эксперт отдела обеспечения соблюдения антимонопольного законодательства ГУНР КНР Хуан Ювэй. Спикер рассказала про изменения в антимонопольном законодательстве Китая, а также про регулирование интеллектуальной собственности в контексте фармацевтических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также принял участие профессор индийского Института химических технологий Самир Кулькарни. Спикер отметил, что одним из наиболее перспективных фармацевтических рынков в настоящее время является рынок биоаналогов. В 2023 году эксперты оценивают стоимость этого рынка примерно в 44 трлн рублей (500 млрд долларов США).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по словам Самира Кулькарни, институт конкуренции на рынках биологических препаратов не соблюдается. Это значит, что антимонопольным ведомствам необходимо адаптировать имеющиеся у них регуляторные инструменты для обеспечения доступности таких лекарств.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[photo_1857]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Конкурентные ведомства используют различные механизмы повышения доступности лекарственных препаратов, увеличения объемов их производства, снижения их стоимости и недопущения антиконкурентных практик на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заседания была достигнута договорённость расширять сотрудничество между антимонопольными регуляторами и образовательными учреждениями для наращивания знаний и повышения компетенций в области разработки биоаналогов.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