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площадке ФАС состоялось подписание Российского Кодекса практики рекламы и маркетинговых коммуникаций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2024, 20:05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содержит основные принципы и подходы для ведения добросовестной деятельности, в том числе на рынке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2001 году был подписан Первый Российский Кодекс практики рекламы и маркетинговых коммуникаций. Однако активная цифровизация внесла перемены в процессы производства и распространения рекламы, а также взаимодействия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Новая версия документа разработана по инициативе Ассоциации коммуникационных агентств России (АКАР) и Ассоциации производителей фирменных торговых марок «Русбренд». Кодекс подготовлен рабочей группой ассоциаций и других индустриальных объединений при содействии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подписали представители крупнейших профильных ассоциаций, которые осуществляют маркетинговые коммуникации, включая рекламу и продвижение товаров 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Кодекс направлен на защиту потребителей от обмана и введения в заблуждение. В документе закреплены принципы добросовестного ведения бизнеса, запреты на порочение деловой репутации иных лиц. Отдельные положения Кодекса касаются недобросовестной конкуренции, охраны результатов интеллектуальной собственности, маркетинговых коммуникаций с использованием интерактивных электронных средств коммуникации и телефона, а также защиты несовершеннолетних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[photo_1860]</w:t>
      </w:r>
      <w:r>
        <w:br/>
      </w:r>
      <w:r>
        <w:t xml:space="preserve">
Стандарты и этические правила, предусмотренные документом, должны соблюдаться рекламодателями, рекламораспространителями, агентствами маркетинговых коммуникаций и СМИ, присоединившимися к Кодексу.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подчеркивают, что Кодекс создан для защиты интересов добросовестных участников рынка и открыт для присоединения.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