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Сетевые организации смогут получить средства на амортизацию только после утверждения инвестиционного плана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соответствующего постановления Правительства РФ* разработала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вносит ряд изменений в Основы ценообразования в сфере электроэнергетики.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Расходы на амортизацию будут включаться в необходимую валовую выручку ТСО только при наличии утвержденной инвестиционной программы. Амортизационные отчисления определяются согласно классификатору основных средств и первоначальной стоимости имущества.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мера подготовлена для того, чтобы амортизационные расходы использовались по целевому назначению, т.е. для модернизации электросетевого комплекса, ремонта основных средств и закупки нового оборудования.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Действующая методология расчета тарифов позволяла недобросовестным участникам рынка использовать амортизационные средства нецелевым образом, не связанным с государственным регулированием цен (тарифов).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Оптимизация средств позволит поддерживать объекты электросетевого хозяйства в надлежащем состоянии и будет способствовать обеспечению надежности и качества электроснабжения.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постановления Правительства Российской Федерации «О внесении изменений в некоторые акты Правительства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